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19AD" w:rsidRPr="005A1C60" w:rsidRDefault="002719AD" w:rsidP="005A1C60">
      <w:pPr>
        <w:pStyle w:val="Ttulo"/>
        <w:spacing w:before="120" w:after="120" w:line="360" w:lineRule="auto"/>
        <w:ind w:right="39"/>
        <w:jc w:val="right"/>
        <w:rPr>
          <w:rFonts w:ascii="Times New Roman" w:hAnsi="Times New Roman"/>
          <w:szCs w:val="24"/>
        </w:rPr>
      </w:pPr>
    </w:p>
    <w:p w:rsidR="005C0C24" w:rsidRPr="005A1C60" w:rsidRDefault="007C7752" w:rsidP="005A1C60">
      <w:pPr>
        <w:suppressAutoHyphens w:val="0"/>
        <w:autoSpaceDE w:val="0"/>
        <w:adjustRightInd w:val="0"/>
        <w:spacing w:before="120" w:after="120" w:line="360" w:lineRule="auto"/>
        <w:jc w:val="center"/>
        <w:textAlignment w:val="auto"/>
        <w:rPr>
          <w:b/>
        </w:rPr>
      </w:pPr>
      <w:r w:rsidRPr="005A1C60">
        <w:rPr>
          <w:b/>
        </w:rPr>
        <w:t xml:space="preserve">POLÍTICAS DE LA OTREDAD EN CONTEXTOS EXTRACTIVISTAS: </w:t>
      </w:r>
    </w:p>
    <w:p w:rsidR="007C7752" w:rsidRPr="005A1C60" w:rsidRDefault="007C7752" w:rsidP="003256A2">
      <w:pPr>
        <w:suppressAutoHyphens w:val="0"/>
        <w:autoSpaceDE w:val="0"/>
        <w:adjustRightInd w:val="0"/>
        <w:spacing w:before="120" w:after="120" w:line="360" w:lineRule="auto"/>
        <w:jc w:val="center"/>
        <w:textAlignment w:val="auto"/>
        <w:rPr>
          <w:b/>
        </w:rPr>
      </w:pPr>
      <w:r w:rsidRPr="005A1C60">
        <w:rPr>
          <w:b/>
        </w:rPr>
        <w:t>REPR</w:t>
      </w:r>
      <w:r w:rsidR="005C0C24" w:rsidRPr="005A1C60">
        <w:rPr>
          <w:b/>
        </w:rPr>
        <w:t>E</w:t>
      </w:r>
      <w:r w:rsidRPr="005A1C60">
        <w:rPr>
          <w:b/>
        </w:rPr>
        <w:t xml:space="preserve">SENTACIONES DE LA </w:t>
      </w:r>
      <w:r w:rsidR="005A1C60">
        <w:rPr>
          <w:b/>
        </w:rPr>
        <w:t>“</w:t>
      </w:r>
      <w:r w:rsidRPr="005A1C60">
        <w:rPr>
          <w:b/>
        </w:rPr>
        <w:t>MUJER WAYUU</w:t>
      </w:r>
      <w:r w:rsidR="005A1C60">
        <w:rPr>
          <w:b/>
        </w:rPr>
        <w:t>”</w:t>
      </w:r>
      <w:r w:rsidRPr="005A1C60">
        <w:rPr>
          <w:b/>
        </w:rPr>
        <w:t xml:space="preserve"> EN RIOACHA</w:t>
      </w:r>
    </w:p>
    <w:p w:rsidR="00D74888" w:rsidRPr="005A1C60" w:rsidRDefault="00C258A2" w:rsidP="005A1C60">
      <w:pPr>
        <w:pStyle w:val="Prrafodelista"/>
        <w:numPr>
          <w:ilvl w:val="0"/>
          <w:numId w:val="23"/>
        </w:numPr>
        <w:spacing w:before="120" w:after="120" w:line="360" w:lineRule="auto"/>
        <w:jc w:val="both"/>
      </w:pPr>
      <w:r w:rsidRPr="005A1C60">
        <w:rPr>
          <w:b/>
        </w:rPr>
        <w:t>Resumen</w:t>
      </w:r>
    </w:p>
    <w:p w:rsidR="00BA2906" w:rsidRPr="005A1C60" w:rsidRDefault="005A1C60" w:rsidP="00BA2906">
      <w:pPr>
        <w:pStyle w:val="Prrafodelista"/>
        <w:spacing w:before="120" w:after="120" w:line="360" w:lineRule="auto"/>
        <w:ind w:left="360"/>
        <w:jc w:val="both"/>
      </w:pPr>
      <w:r>
        <w:t>Asumiendo la necesidad de la academia de analizar de manera crítica las relaciones que se establecen entre la inserción de economías extractivas y los cambios en la vida de las personas en contextos específicos, este proyecto se centra en analizar las representaciones sociales construidas en torno a la “mujer wayuu"</w:t>
      </w:r>
      <w:r>
        <w:rPr>
          <w:rStyle w:val="Refdenotaalpie"/>
        </w:rPr>
        <w:footnoteReference w:id="2"/>
      </w:r>
      <w:r w:rsidR="00710449">
        <w:t xml:space="preserve">, como parte de políticas que fijan la otredad  a partir de categorías de raza-género y clase.  Nos proponemos entender como desde los indígenas wayúu se fijan discursos sobre las mujeres, entendiendo que estos son escenarios de múltiples disputas que si bien se fijan en el terreno de las significaciones tiene su correlato en las prácticas. Nos proponemos analizar también, los discursos que emergen de las empresas extractivas y el Estado, como agentes que </w:t>
      </w:r>
      <w:r w:rsidR="00BA2906">
        <w:t>juegan un papel fundamental en la construcción de discursos que por lo general, se enmarcan en el paradigma del desarrollo económico. Así, a partir de los diferentes actores: comunidades- estado- sector privado- buscamos conocer la manera como las mujeres se relacionan en tensión, disputa, construcción continúa con los discursos que sobre ellas se agencian</w:t>
      </w:r>
      <w:r w:rsidR="00DD7A1A">
        <w:t>, para develar las prácticas que se derivan de estas representaciones y las posiciones en las que se sitúan en medio de los juegos de jerarquías y poderes</w:t>
      </w:r>
      <w:r w:rsidR="00BA2906">
        <w:t>.</w:t>
      </w:r>
    </w:p>
    <w:p w:rsidR="007C4D88" w:rsidRPr="005A1C60" w:rsidRDefault="007C4D88" w:rsidP="005A1C60">
      <w:pPr>
        <w:numPr>
          <w:ilvl w:val="0"/>
          <w:numId w:val="23"/>
        </w:numPr>
        <w:spacing w:before="120" w:after="120" w:line="360" w:lineRule="auto"/>
        <w:jc w:val="both"/>
        <w:rPr>
          <w:b/>
        </w:rPr>
      </w:pPr>
      <w:r w:rsidRPr="005A1C60">
        <w:rPr>
          <w:b/>
        </w:rPr>
        <w:t>Palabras clave</w:t>
      </w:r>
      <w:r w:rsidR="00BA2906">
        <w:rPr>
          <w:b/>
        </w:rPr>
        <w:t xml:space="preserve">s </w:t>
      </w:r>
    </w:p>
    <w:p w:rsidR="0078048B" w:rsidRPr="005A1C60" w:rsidRDefault="0078048B" w:rsidP="005A1C60">
      <w:pPr>
        <w:spacing w:before="120" w:after="120" w:line="360" w:lineRule="auto"/>
        <w:ind w:left="360"/>
        <w:jc w:val="both"/>
      </w:pPr>
      <w:r w:rsidRPr="005A1C60">
        <w:t xml:space="preserve">Wayuu- interseccionalidad – políticas culturales – género </w:t>
      </w:r>
      <w:r w:rsidR="00BA2906">
        <w:t>–</w:t>
      </w:r>
      <w:r w:rsidRPr="005A1C60">
        <w:t xml:space="preserve"> extractivismo</w:t>
      </w:r>
      <w:r w:rsidR="00BA2906">
        <w:t xml:space="preserve"> – representaciones sociales</w:t>
      </w:r>
    </w:p>
    <w:p w:rsidR="007C4D88" w:rsidRPr="005A1C60" w:rsidRDefault="007C4D88" w:rsidP="005A1C60">
      <w:pPr>
        <w:numPr>
          <w:ilvl w:val="0"/>
          <w:numId w:val="23"/>
        </w:numPr>
        <w:spacing w:before="120" w:after="120" w:line="360" w:lineRule="auto"/>
        <w:jc w:val="both"/>
        <w:rPr>
          <w:b/>
        </w:rPr>
      </w:pPr>
      <w:r w:rsidRPr="005A1C60">
        <w:rPr>
          <w:b/>
        </w:rPr>
        <w:t>Planteamiento del problema</w:t>
      </w:r>
    </w:p>
    <w:p w:rsidR="009F53E2" w:rsidRPr="005A1C60" w:rsidRDefault="000532A8" w:rsidP="005A1C60">
      <w:pPr>
        <w:spacing w:before="120" w:after="120" w:line="360" w:lineRule="auto"/>
        <w:ind w:left="360"/>
        <w:jc w:val="both"/>
      </w:pPr>
      <w:r w:rsidRPr="005A1C60">
        <w:t>Los proc</w:t>
      </w:r>
      <w:r w:rsidR="00DD7A1A">
        <w:t>esos de configuración de estado–</w:t>
      </w:r>
      <w:r w:rsidRPr="005A1C60">
        <w:t>nación y su correlato de la colombianidad, han estado acompañados de procesos de construcción de unos discursos sobre las identidades regionales</w:t>
      </w:r>
      <w:r w:rsidR="005C0C24" w:rsidRPr="005A1C60">
        <w:t xml:space="preserve"> que</w:t>
      </w:r>
      <w:r w:rsidRPr="005A1C60">
        <w:t xml:space="preserve"> han privilegiado unas representaciones sobre otras, construyendo unas políticas de la representación que se hegemonizan</w:t>
      </w:r>
      <w:r w:rsidR="009709A2" w:rsidRPr="005A1C60">
        <w:t>.</w:t>
      </w:r>
    </w:p>
    <w:p w:rsidR="00A61484" w:rsidRDefault="009F53E2" w:rsidP="00A61484">
      <w:pPr>
        <w:spacing w:before="120" w:after="120" w:line="360" w:lineRule="auto"/>
        <w:ind w:left="360"/>
        <w:jc w:val="both"/>
      </w:pPr>
      <w:r w:rsidRPr="005A1C60">
        <w:lastRenderedPageBreak/>
        <w:t xml:space="preserve">Dentro de estas representaciones las imágenes de la </w:t>
      </w:r>
      <w:r w:rsidR="00DD7A1A">
        <w:t>“</w:t>
      </w:r>
      <w:r w:rsidRPr="005A1C60">
        <w:t>mujer indígena</w:t>
      </w:r>
      <w:r w:rsidR="00DD7A1A">
        <w:t>”</w:t>
      </w:r>
      <w:r w:rsidRPr="005A1C60">
        <w:t xml:space="preserve"> se han visto intermediadas por una serie de dispositivos, mecanismos y discursos que los ubican en una posición que determina sus interacciones sociales y define constantemente sus condiciones dentro de jerarquizados juegos de poder y de exclusión. Estas representaciones no son constantes, homogéneas o estáticas, sino que por el contrario, son construidas y replanteadas constantemente en la medida en que entran en disputa con otra</w:t>
      </w:r>
      <w:r w:rsidR="00A61484">
        <w:t xml:space="preserve">s representaciones y discursos. Así, el proyecto se pregunta por las representaciones asociadas a las mujeres wayúu en un contexto atravesado por la economía extractivista de la mina a cielo abierto más grande del mundo El Cerrejón.  </w:t>
      </w:r>
    </w:p>
    <w:p w:rsidR="007C4D88" w:rsidRPr="005A1C60" w:rsidRDefault="007C4D88" w:rsidP="00A61484">
      <w:pPr>
        <w:spacing w:before="120" w:after="120" w:line="360" w:lineRule="auto"/>
        <w:ind w:left="360"/>
        <w:jc w:val="both"/>
        <w:rPr>
          <w:b/>
        </w:rPr>
      </w:pPr>
      <w:r w:rsidRPr="005A1C60">
        <w:rPr>
          <w:b/>
        </w:rPr>
        <w:t>Pregunta de investigación</w:t>
      </w:r>
    </w:p>
    <w:p w:rsidR="0078048B" w:rsidRPr="005A1C60" w:rsidRDefault="00355392" w:rsidP="005A1C60">
      <w:pPr>
        <w:spacing w:before="120" w:after="120" w:line="360" w:lineRule="auto"/>
        <w:ind w:left="360"/>
        <w:jc w:val="both"/>
      </w:pPr>
      <w:r w:rsidRPr="005A1C60">
        <w:t>¿Cuáles son las relaciones entre un contexto extractivista – Cerrejón- y la configuración de las representaciones sociales asociadas a la “mujer wayuu”?</w:t>
      </w:r>
    </w:p>
    <w:p w:rsidR="004D6344" w:rsidRPr="005A1C60" w:rsidRDefault="00C258A2" w:rsidP="005A1C60">
      <w:pPr>
        <w:numPr>
          <w:ilvl w:val="0"/>
          <w:numId w:val="23"/>
        </w:numPr>
        <w:spacing w:before="120" w:after="120" w:line="360" w:lineRule="auto"/>
        <w:jc w:val="both"/>
        <w:rPr>
          <w:b/>
        </w:rPr>
      </w:pPr>
      <w:r w:rsidRPr="005A1C60">
        <w:rPr>
          <w:b/>
        </w:rPr>
        <w:t>Objetivo</w:t>
      </w:r>
      <w:r w:rsidR="00355392" w:rsidRPr="005A1C60">
        <w:rPr>
          <w:b/>
        </w:rPr>
        <w:t>s</w:t>
      </w:r>
    </w:p>
    <w:p w:rsidR="00355392" w:rsidRPr="005A1C60" w:rsidRDefault="00355392" w:rsidP="005A1C60">
      <w:pPr>
        <w:spacing w:before="120" w:after="120" w:line="360" w:lineRule="auto"/>
        <w:ind w:left="360"/>
        <w:jc w:val="both"/>
        <w:rPr>
          <w:b/>
          <w:i/>
        </w:rPr>
      </w:pPr>
      <w:r w:rsidRPr="005A1C60">
        <w:rPr>
          <w:b/>
          <w:i/>
        </w:rPr>
        <w:t>General</w:t>
      </w:r>
    </w:p>
    <w:p w:rsidR="00A63683" w:rsidRPr="005A1C60" w:rsidRDefault="00A63683" w:rsidP="00710449">
      <w:pPr>
        <w:spacing w:before="120" w:after="120" w:line="360" w:lineRule="auto"/>
        <w:ind w:left="360"/>
        <w:jc w:val="both"/>
      </w:pPr>
      <w:r w:rsidRPr="005A1C60">
        <w:t>Entender la relación entre un contexto extr</w:t>
      </w:r>
      <w:r w:rsidR="00710449">
        <w:t xml:space="preserve">activista  -caso Cerrejón- y la </w:t>
      </w:r>
      <w:r w:rsidRPr="005A1C60">
        <w:t>configuración de las representaciones sociales de la “mujer wayuu”.</w:t>
      </w:r>
    </w:p>
    <w:p w:rsidR="00A63683" w:rsidRPr="005A1C60" w:rsidRDefault="00355392" w:rsidP="005A1C60">
      <w:pPr>
        <w:spacing w:before="120" w:after="120" w:line="360" w:lineRule="auto"/>
        <w:ind w:firstLine="360"/>
      </w:pPr>
      <w:r w:rsidRPr="005A1C60">
        <w:rPr>
          <w:b/>
          <w:i/>
        </w:rPr>
        <w:t>Específicos</w:t>
      </w:r>
    </w:p>
    <w:p w:rsidR="00DD716C" w:rsidRPr="005A1C60" w:rsidRDefault="00DD716C" w:rsidP="005A1C60">
      <w:pPr>
        <w:pStyle w:val="Prrafodelista"/>
        <w:numPr>
          <w:ilvl w:val="0"/>
          <w:numId w:val="24"/>
        </w:numPr>
        <w:suppressAutoHyphens w:val="0"/>
        <w:autoSpaceDN/>
        <w:spacing w:before="120" w:after="120" w:line="360" w:lineRule="auto"/>
        <w:contextualSpacing/>
        <w:jc w:val="both"/>
        <w:textAlignment w:val="auto"/>
      </w:pPr>
      <w:r w:rsidRPr="005A1C60">
        <w:t>Identificar  las representaciones sociales de las mujeres Wayuu por parte de su comunidad.</w:t>
      </w:r>
    </w:p>
    <w:p w:rsidR="00DD716C" w:rsidRPr="005A1C60" w:rsidRDefault="00DD716C" w:rsidP="003256A2">
      <w:pPr>
        <w:pStyle w:val="Prrafodelista"/>
        <w:numPr>
          <w:ilvl w:val="0"/>
          <w:numId w:val="24"/>
        </w:numPr>
        <w:suppressAutoHyphens w:val="0"/>
        <w:autoSpaceDN/>
        <w:spacing w:before="120" w:after="120" w:line="360" w:lineRule="auto"/>
        <w:contextualSpacing/>
        <w:jc w:val="both"/>
        <w:textAlignment w:val="auto"/>
      </w:pPr>
      <w:r w:rsidRPr="005A1C60">
        <w:t>Analizar el lugar que ocupan las mujeres en los discursos de desarrollo propue</w:t>
      </w:r>
      <w:r w:rsidRPr="005A1C60">
        <w:t>s</w:t>
      </w:r>
      <w:r w:rsidRPr="005A1C60">
        <w:t>tos por las empresas extractivistas y el estado.</w:t>
      </w:r>
    </w:p>
    <w:p w:rsidR="00DD716C" w:rsidRPr="005A1C60" w:rsidRDefault="00DD716C" w:rsidP="005A1C60">
      <w:pPr>
        <w:pStyle w:val="Prrafodelista"/>
        <w:numPr>
          <w:ilvl w:val="0"/>
          <w:numId w:val="24"/>
        </w:numPr>
        <w:suppressAutoHyphens w:val="0"/>
        <w:autoSpaceDN/>
        <w:spacing w:before="120" w:after="120" w:line="360" w:lineRule="auto"/>
        <w:contextualSpacing/>
        <w:jc w:val="both"/>
        <w:textAlignment w:val="auto"/>
      </w:pPr>
      <w:r w:rsidRPr="005A1C60">
        <w:t>Analizar cómo las mujeres se relacionan con las representaciones que sobre ellas  configuran, entes estatales y comunitarios.</w:t>
      </w:r>
    </w:p>
    <w:p w:rsidR="007C4D88" w:rsidRPr="005A1C60" w:rsidRDefault="007C4D88" w:rsidP="005A1C60">
      <w:pPr>
        <w:numPr>
          <w:ilvl w:val="0"/>
          <w:numId w:val="23"/>
        </w:numPr>
        <w:spacing w:before="120" w:after="120" w:line="360" w:lineRule="auto"/>
        <w:jc w:val="both"/>
        <w:rPr>
          <w:b/>
        </w:rPr>
      </w:pPr>
      <w:r w:rsidRPr="005A1C60">
        <w:rPr>
          <w:b/>
        </w:rPr>
        <w:t>Justificación</w:t>
      </w:r>
    </w:p>
    <w:p w:rsidR="00132EA0" w:rsidRPr="005A1C60" w:rsidRDefault="00355392" w:rsidP="005A1C60">
      <w:pPr>
        <w:widowControl w:val="0"/>
        <w:spacing w:before="120" w:after="120" w:line="360" w:lineRule="auto"/>
        <w:jc w:val="both"/>
      </w:pPr>
      <w:r w:rsidRPr="005A1C60">
        <w:t xml:space="preserve">A partir de la investigación economías extractivas, relaciones de género y vida cotidiana, realizada durante el 2014, ha sido evidente la necesidad de complejizar la mirada sobre la manera como </w:t>
      </w:r>
      <w:r w:rsidR="00A00FF5" w:rsidRPr="005A1C60">
        <w:t>la inserción de una economía extractiva de gran alcance, afecta las relaciones sociales de los lugares a los que llega, y de manera particular la vida de las mujeres. Así, la manera como se inserta esté tipo de economías trae consigo cambios en los discursos y práctica</w:t>
      </w:r>
      <w:r w:rsidR="00A61484">
        <w:t xml:space="preserve">s culturales de las poblaciones. </w:t>
      </w:r>
      <w:r w:rsidR="00A00FF5" w:rsidRPr="005A1C60">
        <w:t>Estos cambios se dan en medio de tensiones, disputas, sobre el</w:t>
      </w:r>
      <w:r w:rsidR="00132EA0" w:rsidRPr="005A1C60">
        <w:t xml:space="preserve"> plano de las representaciones, que conlleva </w:t>
      </w:r>
      <w:r w:rsidR="00132EA0" w:rsidRPr="005A1C60">
        <w:lastRenderedPageBreak/>
        <w:t>una disputa sobre las representaciones hegemónicas de las identidades. Así, consideramos relevante entender los contenidos discursivos de las repre</w:t>
      </w:r>
      <w:r w:rsidR="00A61484">
        <w:t>sentaciones sobre la “mujer wayú</w:t>
      </w:r>
      <w:r w:rsidR="00132EA0" w:rsidRPr="005A1C60">
        <w:t>u” en tanto esto nos permitirá evidenciar cuales son las relaciones de poder que sobre el plano de las políticas identitarias</w:t>
      </w:r>
      <w:r w:rsidR="00A61484">
        <w:t xml:space="preserve"> y la otredad</w:t>
      </w:r>
      <w:r w:rsidR="00132EA0" w:rsidRPr="005A1C60">
        <w:t xml:space="preserve"> se juega, y como estas</w:t>
      </w:r>
      <w:r w:rsidR="00A61484">
        <w:t xml:space="preserve"> representaciones tienen impacto</w:t>
      </w:r>
      <w:r w:rsidR="00132EA0" w:rsidRPr="005A1C60">
        <w:t xml:space="preserve">s concretos en políticas, medidas, que asumen las mujeres. </w:t>
      </w:r>
    </w:p>
    <w:p w:rsidR="00132EA0" w:rsidRPr="005A1C60" w:rsidRDefault="00132EA0" w:rsidP="005A1C60">
      <w:pPr>
        <w:widowControl w:val="0"/>
        <w:spacing w:before="120" w:after="120" w:line="360" w:lineRule="auto"/>
        <w:jc w:val="both"/>
      </w:pPr>
      <w:r w:rsidRPr="005A1C60">
        <w:t xml:space="preserve">En esta medida, este proyecto contribuye al interés </w:t>
      </w:r>
      <w:r w:rsidR="004E589B" w:rsidRPr="005A1C60">
        <w:t xml:space="preserve">de la investigación </w:t>
      </w:r>
      <w:r w:rsidRPr="005A1C60">
        <w:t xml:space="preserve">que le antecede: contribuir desde una mirada interdisciplinar a problematizar la presencia de economías de gran escala que irrumpen en la cotidianidad de los sujetos, generando procesos </w:t>
      </w:r>
      <w:r w:rsidR="004E589B" w:rsidRPr="005A1C60">
        <w:t xml:space="preserve">a múltiples </w:t>
      </w:r>
      <w:r w:rsidR="00A61484">
        <w:t>niveles, en particular sobre los cuerpos de las</w:t>
      </w:r>
      <w:r w:rsidR="004E589B" w:rsidRPr="005A1C60">
        <w:t xml:space="preserve"> mujeres. </w:t>
      </w:r>
    </w:p>
    <w:p w:rsidR="007C4D88" w:rsidRPr="005A1C60" w:rsidRDefault="007C4D88" w:rsidP="005A1C60">
      <w:pPr>
        <w:numPr>
          <w:ilvl w:val="0"/>
          <w:numId w:val="23"/>
        </w:numPr>
        <w:spacing w:before="120" w:after="120" w:line="360" w:lineRule="auto"/>
        <w:jc w:val="both"/>
        <w:rPr>
          <w:b/>
        </w:rPr>
      </w:pPr>
      <w:r w:rsidRPr="005A1C60">
        <w:rPr>
          <w:b/>
        </w:rPr>
        <w:t>Estado del arte</w:t>
      </w:r>
    </w:p>
    <w:p w:rsidR="00CF0FEB" w:rsidRPr="005A1C60" w:rsidRDefault="00CF0FEB" w:rsidP="005A1C60">
      <w:pPr>
        <w:widowControl w:val="0"/>
        <w:spacing w:before="120" w:after="120" w:line="360" w:lineRule="auto"/>
        <w:jc w:val="both"/>
        <w:rPr>
          <w:color w:val="000000"/>
          <w:lang w:val="es-CO"/>
        </w:rPr>
      </w:pPr>
      <w:r w:rsidRPr="005A1C60">
        <w:rPr>
          <w:color w:val="000000"/>
          <w:lang w:val="es-CO"/>
        </w:rPr>
        <w:t xml:space="preserve">El interés por la comprensión de los impactos de economías extractivas en las  lógicas y dinámicas de territorios y grupos humanos  han suscitado interés en las ciencias sociales y en los entes estatales y privados relacionados con el extractivismo. Evidencia de ello son las diferentes reflexiones académicas facilitadas por la CLACSO (Delgado, 2013),  los seminarios realizados en conjunto con la  Universidad Nacional “Desarrollo, Extractivismo y conflicto en América Latina y el Caribe:  Una mirada desde la Ecología Política” (2014), los debates académicos propiciados por La Universidad Javeriana “Seminario Internacional: Geopolitica y Extractivismo en Colombia” (2014)  y otras entidades universitarias en Latinoamérica (Velardei; Zaisser;2012); así como las discusiones y espacios generados por  entidades multilaterales extractivistas (ej. Revista Mundo Cerrejon, informes de políticas de RS; 2009) y el Estado (Garay, 2013) para  la comprensión y presentación  de los impactos sociales  en las regiones. </w:t>
      </w:r>
    </w:p>
    <w:p w:rsidR="00CF0FEB" w:rsidRPr="005A1C60" w:rsidRDefault="00CF0FEB" w:rsidP="005A1C60">
      <w:pPr>
        <w:widowControl w:val="0"/>
        <w:spacing w:before="120" w:after="120" w:line="360" w:lineRule="auto"/>
        <w:jc w:val="both"/>
        <w:rPr>
          <w:color w:val="000000"/>
          <w:lang w:val="es-CO"/>
        </w:rPr>
      </w:pPr>
      <w:r w:rsidRPr="005A1C60">
        <w:rPr>
          <w:color w:val="000000"/>
          <w:lang w:val="es-CO"/>
        </w:rPr>
        <w:t xml:space="preserve">Aun así, a pesar de que desde las diferentes  miradas, se reconoce el impacto social y motor de cambio que se generan en las zonas extractivistas, en este caso a partir de la presencia del </w:t>
      </w:r>
      <w:r w:rsidR="000D67FC" w:rsidRPr="005A1C60">
        <w:rPr>
          <w:color w:val="000000"/>
          <w:lang w:val="es-CO"/>
        </w:rPr>
        <w:t>Cerrejón</w:t>
      </w:r>
      <w:r w:rsidRPr="005A1C60">
        <w:rPr>
          <w:color w:val="000000"/>
          <w:lang w:val="es-CO"/>
        </w:rPr>
        <w:t>; la configuración de la representación de las mujeres  en sus contextos cotidianos  y sus transformaciones  en el marco de una dinámica extractivista no ha sido analizado con  mayor profundidad.</w:t>
      </w:r>
    </w:p>
    <w:p w:rsidR="00CF0FEB" w:rsidRPr="005A1C60" w:rsidRDefault="00CF0FEB" w:rsidP="005A1C60">
      <w:pPr>
        <w:widowControl w:val="0"/>
        <w:spacing w:before="120" w:after="120" w:line="360" w:lineRule="auto"/>
        <w:jc w:val="both"/>
        <w:rPr>
          <w:color w:val="000000"/>
          <w:lang w:val="es-CO"/>
        </w:rPr>
      </w:pPr>
      <w:r w:rsidRPr="005A1C60">
        <w:rPr>
          <w:color w:val="000000"/>
          <w:lang w:val="es-CO"/>
        </w:rPr>
        <w:t>En ese sentido, las investigaciones encontradas permiten tener una visión diagnóstico de la región, teniendo en cuenta que varias de ellas se centran en  comprender la influencia del Cerrejón en las dinámicas sociales, ambientales y culturales de la zona. Estudios como el de Puerta (2010) permiten la c</w:t>
      </w:r>
      <w:r w:rsidR="000D67FC">
        <w:rPr>
          <w:color w:val="000000"/>
          <w:lang w:val="es-CO"/>
        </w:rPr>
        <w:t>omprensión de  la influencia d</w:t>
      </w:r>
      <w:r w:rsidRPr="005A1C60">
        <w:rPr>
          <w:color w:val="000000"/>
          <w:lang w:val="es-CO"/>
        </w:rPr>
        <w:t xml:space="preserve">el </w:t>
      </w:r>
      <w:r w:rsidR="000D67FC" w:rsidRPr="005A1C60">
        <w:rPr>
          <w:color w:val="000000"/>
          <w:lang w:val="es-CO"/>
        </w:rPr>
        <w:t>Cerrejón</w:t>
      </w:r>
      <w:r w:rsidRPr="005A1C60">
        <w:rPr>
          <w:color w:val="000000"/>
          <w:lang w:val="es-CO"/>
        </w:rPr>
        <w:t xml:space="preserve"> en la </w:t>
      </w:r>
      <w:r w:rsidRPr="005A1C60">
        <w:rPr>
          <w:color w:val="000000"/>
          <w:lang w:val="es-CO"/>
        </w:rPr>
        <w:lastRenderedPageBreak/>
        <w:t>constr</w:t>
      </w:r>
      <w:r w:rsidR="000D67FC">
        <w:rPr>
          <w:color w:val="000000"/>
          <w:lang w:val="es-CO"/>
        </w:rPr>
        <w:t>ucción de espacios relacionales</w:t>
      </w:r>
      <w:r w:rsidRPr="005A1C60">
        <w:rPr>
          <w:color w:val="000000"/>
          <w:lang w:val="es-CO"/>
        </w:rPr>
        <w:t xml:space="preserve"> entendidos estos como “las escalas y las características de las relaciones e interacciones que se activaron entre la multinacional, el Estado colombiano y los Wayuu”(pp.149); así mismo, encontramos perspectivas que analizan las políticas y proyectos de desarrollo asociados y en tensión constante con la diversidad cultural  en la Guajira (Ardila, 1990; Iguarán:2013; PNUD) análisis que  nos permite reafirmar la innegable relación entre los discursos de desarrollo y el reconocimiento de la otredad, así como  investigaciones desde el ámbito histórico (Montero, 2008). </w:t>
      </w:r>
    </w:p>
    <w:p w:rsidR="00D74888" w:rsidRPr="005A1C60" w:rsidRDefault="00C258A2" w:rsidP="005A1C60">
      <w:pPr>
        <w:numPr>
          <w:ilvl w:val="0"/>
          <w:numId w:val="23"/>
        </w:numPr>
        <w:spacing w:before="120" w:after="120" w:line="360" w:lineRule="auto"/>
        <w:jc w:val="both"/>
        <w:rPr>
          <w:b/>
        </w:rPr>
      </w:pPr>
      <w:r w:rsidRPr="005A1C60">
        <w:rPr>
          <w:b/>
        </w:rPr>
        <w:t>Marco teórico o conceptual</w:t>
      </w:r>
    </w:p>
    <w:p w:rsidR="004E589B" w:rsidRPr="005A1C60" w:rsidRDefault="004E589B" w:rsidP="005A1C60">
      <w:pPr>
        <w:spacing w:before="120" w:after="120" w:line="360" w:lineRule="auto"/>
        <w:jc w:val="both"/>
      </w:pPr>
      <w:r w:rsidRPr="005A1C60">
        <w:t xml:space="preserve">Esta propuesta se enmarca en una perspectiva interdisciplinar que </w:t>
      </w:r>
      <w:r w:rsidR="00D35568" w:rsidRPr="005A1C60">
        <w:t>privilegia dos perspectivas teóricas, desde las cuales se retomarán los conceptos centrales de la investigación. Por un lado, los estudi</w:t>
      </w:r>
      <w:r w:rsidR="0092656D" w:rsidRPr="005A1C60">
        <w:t>os culturales, como una propuesta interdisciplinaria desde la cual se problematiza la realidad co</w:t>
      </w:r>
      <w:r w:rsidR="000D67FC">
        <w:t>n el fin de intervenirla, y los feminismos latinoamericanos sustentado en la noción de historicidad y de interseccionalidad.</w:t>
      </w:r>
    </w:p>
    <w:p w:rsidR="009F53E2" w:rsidRDefault="000D67FC" w:rsidP="005A1C60">
      <w:pPr>
        <w:spacing w:before="120" w:after="120" w:line="360" w:lineRule="auto"/>
        <w:jc w:val="both"/>
      </w:pPr>
      <w:r>
        <w:t>En esta propuesta, el tema de las representaciones resulta central, pensado desde su imbrincada relación</w:t>
      </w:r>
      <w:r w:rsidR="009F53E2" w:rsidRPr="005A1C60">
        <w:t xml:space="preserve"> con políticas de la identidad, y de manera más cercana al tema, con políticas de la “otredad” como procesos en los que se identifica al “otro” a partir de ciertos rasgos y características atribuidas a factores culturales. Nos interesa lo que Briones llama “economías políticas de producción de diversidad cultural”, para ver como ponderaciones culturales de distinciones sociales (étnicas, raciales, etc) se disputan modos diferenciados de explotación económica, política e ideológica. A partir de esta noción podemos analizar como estas distinciones sociales producen desigualdades que coinciden con la formación de geografías estatales en las que se juega la excl</w:t>
      </w:r>
      <w:r w:rsidR="00826309" w:rsidRPr="005A1C60">
        <w:t xml:space="preserve">usión y la inclusión, que en la Guajira </w:t>
      </w:r>
      <w:r w:rsidR="009F53E2" w:rsidRPr="005A1C60">
        <w:t xml:space="preserve">han significado la marginalización </w:t>
      </w:r>
      <w:r w:rsidR="00826309" w:rsidRPr="005A1C60">
        <w:t>económica</w:t>
      </w:r>
      <w:r w:rsidR="009F53E2" w:rsidRPr="005A1C60">
        <w:t xml:space="preserve"> de los indígenas dentro de la </w:t>
      </w:r>
      <w:r w:rsidR="00826309" w:rsidRPr="005A1C60">
        <w:t>economía extractivista que impone El Cerrejón, y privilegia unas represe</w:t>
      </w:r>
      <w:r w:rsidR="00855D08" w:rsidRPr="005A1C60">
        <w:t>nt</w:t>
      </w:r>
      <w:r w:rsidR="005F393F">
        <w:t>aciones sobre “lo wayú</w:t>
      </w:r>
      <w:r w:rsidR="00826309" w:rsidRPr="005A1C60">
        <w:t xml:space="preserve">u” restringidas a las asociaciones con ciertas prácticas culturales que son patrimonializables, en tanto “deseables”. </w:t>
      </w:r>
    </w:p>
    <w:p w:rsidR="00F53212" w:rsidRDefault="00756714" w:rsidP="00756714">
      <w:pPr>
        <w:widowControl w:val="0"/>
        <w:spacing w:line="360" w:lineRule="auto"/>
        <w:jc w:val="both"/>
        <w:rPr>
          <w:lang w:val="es-CO"/>
        </w:rPr>
      </w:pPr>
      <w:r>
        <w:t xml:space="preserve">De a acuerdo a lo anterior y teniendo en cuenta la reflexión realizada en </w:t>
      </w:r>
      <w:r w:rsidR="00F53212">
        <w:t xml:space="preserve">el </w:t>
      </w:r>
      <w:r>
        <w:t>proyecto “Economías extractivas, relaciones de género y vida y cotidiana” (Martínez, Fajardo</w:t>
      </w:r>
      <w:r w:rsidR="00F53212">
        <w:t xml:space="preserve"> y Gutié</w:t>
      </w:r>
      <w:r>
        <w:t xml:space="preserve">rrez, 2013)es importante reconocer el </w:t>
      </w:r>
      <w:r>
        <w:rPr>
          <w:lang w:val="es-CO"/>
        </w:rPr>
        <w:t xml:space="preserve">contexto de análisis de </w:t>
      </w:r>
      <w:r w:rsidRPr="00756714">
        <w:rPr>
          <w:lang w:val="es-CO"/>
        </w:rPr>
        <w:t xml:space="preserve">unas economías particulares: extractivas. </w:t>
      </w:r>
      <w:r w:rsidR="00F53212">
        <w:rPr>
          <w:lang w:val="es-CO"/>
        </w:rPr>
        <w:t xml:space="preserve"> Según Gudynas éstas son</w:t>
      </w:r>
      <w:r w:rsidRPr="00756714">
        <w:rPr>
          <w:lang w:val="es-CO"/>
        </w:rPr>
        <w:t xml:space="preserve"> “</w:t>
      </w:r>
      <w:r w:rsidRPr="00756714">
        <w:rPr>
          <w:i/>
          <w:lang w:val="es-CO"/>
        </w:rPr>
        <w:t xml:space="preserve">una particular forma de apropiación de los recursos naturales, caracterizado por la extracción de grandes volúmenes o procedimientos intensos de alto impacto ambiental para destinarlos a la </w:t>
      </w:r>
      <w:r w:rsidRPr="00756714">
        <w:rPr>
          <w:i/>
          <w:lang w:val="es-CO"/>
        </w:rPr>
        <w:lastRenderedPageBreak/>
        <w:t xml:space="preserve">exportación como materias primas” </w:t>
      </w:r>
      <w:r w:rsidRPr="00756714">
        <w:rPr>
          <w:lang w:val="es-CO"/>
        </w:rPr>
        <w:t xml:space="preserve">(2013).  </w:t>
      </w:r>
      <w:r w:rsidR="00530EB0">
        <w:rPr>
          <w:lang w:val="es-CO"/>
        </w:rPr>
        <w:t xml:space="preserve">Para entender el contexto extractivista es necesario precisar la existencia de dos tipos de extractivismo: </w:t>
      </w:r>
    </w:p>
    <w:p w:rsidR="00756714" w:rsidRPr="00F53212" w:rsidRDefault="00530EB0" w:rsidP="00F53212">
      <w:pPr>
        <w:widowControl w:val="0"/>
        <w:ind w:left="708"/>
        <w:jc w:val="both"/>
        <w:rPr>
          <w:sz w:val="22"/>
          <w:lang w:val="es-CO"/>
        </w:rPr>
      </w:pPr>
      <w:r>
        <w:rPr>
          <w:sz w:val="22"/>
          <w:lang w:val="es-CO"/>
        </w:rPr>
        <w:t>“E</w:t>
      </w:r>
      <w:r w:rsidR="00756714" w:rsidRPr="00F53212">
        <w:rPr>
          <w:sz w:val="22"/>
          <w:lang w:val="es-CO"/>
        </w:rPr>
        <w:t xml:space="preserve">l clásico y el neo –extractivsmo.  El primero ha sido el más común durante las últimas décadas y es propio de gobiernos conservadores, donde las empresas transnacionales tienen un rol determinante y el Estado es funcional a esa transnacionalización a través de regulaciones y controles que se traducen en regalías y tributos bajos. Con el este tipo de actividades se espera crecimiento económico y “desarrollo” social </w:t>
      </w:r>
      <w:sdt>
        <w:sdtPr>
          <w:rPr>
            <w:sz w:val="22"/>
            <w:lang w:val="es-CO"/>
          </w:rPr>
          <w:id w:val="776908215"/>
          <w:citation/>
        </w:sdtPr>
        <w:sdtContent>
          <w:r w:rsidR="0012714E" w:rsidRPr="00F53212">
            <w:rPr>
              <w:sz w:val="22"/>
              <w:lang w:val="es-CO"/>
            </w:rPr>
            <w:fldChar w:fldCharType="begin"/>
          </w:r>
          <w:r w:rsidR="00756714" w:rsidRPr="00F53212">
            <w:rPr>
              <w:sz w:val="22"/>
              <w:lang w:val="es-CO"/>
            </w:rPr>
            <w:instrText xml:space="preserve">CITATION Gud12 \t  \l 9226 </w:instrText>
          </w:r>
          <w:r w:rsidR="0012714E" w:rsidRPr="00F53212">
            <w:rPr>
              <w:sz w:val="22"/>
              <w:lang w:val="es-CO"/>
            </w:rPr>
            <w:fldChar w:fldCharType="separate"/>
          </w:r>
          <w:r w:rsidR="00756714" w:rsidRPr="00F53212">
            <w:rPr>
              <w:noProof/>
              <w:sz w:val="22"/>
              <w:lang w:val="es-CO"/>
            </w:rPr>
            <w:t>(Gudynas, 2012)</w:t>
          </w:r>
          <w:r w:rsidR="0012714E" w:rsidRPr="00F53212">
            <w:rPr>
              <w:sz w:val="22"/>
              <w:lang w:val="es-CO"/>
            </w:rPr>
            <w:fldChar w:fldCharType="end"/>
          </w:r>
        </w:sdtContent>
      </w:sdt>
      <w:r w:rsidR="00756714" w:rsidRPr="00F53212">
        <w:rPr>
          <w:sz w:val="22"/>
          <w:lang w:val="es-CO"/>
        </w:rPr>
        <w:t>. No obstante, se ha evidenciado que bajo el régimen de gobiernos conservadores, no sólo la idea de desarrollo se pone en cuestión al reconocer las precariedad de las condiciones socioeconómicas de las familias y territorios donde se desarrollas estas actividades, también se observa cómo las formas de manifestación y oposición  ciudadana son objeto de represión al denunciar los impactos sociales y ambientales producto del desarrollo de actividades extractivas (hidrocarburos, minería). Esta situación genera temor en las comunidades y sub-registro tanto de las denuncias como de los impactos que se presentan en las zonas que el Estado destina para el desarrollo de este tipo de actividades.</w:t>
      </w:r>
    </w:p>
    <w:p w:rsidR="00756714" w:rsidRPr="00F53212" w:rsidRDefault="00756714" w:rsidP="00F53212">
      <w:pPr>
        <w:widowControl w:val="0"/>
        <w:jc w:val="both"/>
        <w:rPr>
          <w:color w:val="000000"/>
          <w:sz w:val="22"/>
          <w:lang w:val="es-CO"/>
        </w:rPr>
      </w:pPr>
    </w:p>
    <w:p w:rsidR="00756714" w:rsidRPr="00F53212" w:rsidRDefault="00756714" w:rsidP="00F53212">
      <w:pPr>
        <w:widowControl w:val="0"/>
        <w:ind w:left="708"/>
        <w:jc w:val="both"/>
        <w:rPr>
          <w:sz w:val="22"/>
          <w:lang w:val="es-CO"/>
        </w:rPr>
      </w:pPr>
      <w:r w:rsidRPr="00F53212">
        <w:rPr>
          <w:sz w:val="22"/>
          <w:lang w:val="es-CO"/>
        </w:rPr>
        <w:t xml:space="preserve">El segundo, conocido como  neo extractivismo, se caracteriza por mantener y profundizar la extracción minera y petrolera, a través del aumento de los recursos económicos destinados para ello, o por la incorporación de nuevos recursos (desarrollo de megaminería en países que no tienen tradición minera).  En este tipo de extractivismo el Estado reproduce la estructura y las reglas de funcionamiento de los procesos productivos capitalistas, volcados a la competitividad, la eficiencia, la maximización de la renta y la externalización de los impactos sociales y ambientales </w:t>
      </w:r>
      <w:sdt>
        <w:sdtPr>
          <w:rPr>
            <w:sz w:val="22"/>
            <w:lang w:val="es-CO"/>
          </w:rPr>
          <w:id w:val="1765257320"/>
          <w:citation/>
        </w:sdtPr>
        <w:sdtContent>
          <w:r w:rsidR="0012714E" w:rsidRPr="00F53212">
            <w:rPr>
              <w:sz w:val="22"/>
              <w:lang w:val="es-CO"/>
            </w:rPr>
            <w:fldChar w:fldCharType="begin"/>
          </w:r>
          <w:r w:rsidRPr="00F53212">
            <w:rPr>
              <w:sz w:val="22"/>
              <w:lang w:val="es-CO"/>
            </w:rPr>
            <w:instrText xml:space="preserve">CITATION Gud12 \t  \l 9226 </w:instrText>
          </w:r>
          <w:r w:rsidR="0012714E" w:rsidRPr="00F53212">
            <w:rPr>
              <w:sz w:val="22"/>
              <w:lang w:val="es-CO"/>
            </w:rPr>
            <w:fldChar w:fldCharType="separate"/>
          </w:r>
          <w:r w:rsidRPr="00F53212">
            <w:rPr>
              <w:noProof/>
              <w:sz w:val="22"/>
              <w:lang w:val="es-CO"/>
            </w:rPr>
            <w:t>(Gudynas, 2012)</w:t>
          </w:r>
          <w:r w:rsidR="0012714E" w:rsidRPr="00F53212">
            <w:rPr>
              <w:sz w:val="22"/>
              <w:lang w:val="es-CO"/>
            </w:rPr>
            <w:fldChar w:fldCharType="end"/>
          </w:r>
        </w:sdtContent>
      </w:sdt>
      <w:r w:rsidRPr="00F53212">
        <w:rPr>
          <w:sz w:val="22"/>
          <w:lang w:val="es-CO"/>
        </w:rPr>
        <w:t>.</w:t>
      </w:r>
    </w:p>
    <w:p w:rsidR="00F53212" w:rsidRPr="00756714" w:rsidRDefault="00F53212" w:rsidP="00F53212">
      <w:pPr>
        <w:widowControl w:val="0"/>
        <w:ind w:left="708"/>
        <w:jc w:val="both"/>
        <w:rPr>
          <w:lang w:val="es-CO"/>
        </w:rPr>
      </w:pPr>
    </w:p>
    <w:p w:rsidR="00855D08" w:rsidRPr="005A1C60" w:rsidRDefault="0092656D" w:rsidP="005A1C60">
      <w:pPr>
        <w:spacing w:before="120" w:after="120" w:line="360" w:lineRule="auto"/>
        <w:jc w:val="both"/>
      </w:pPr>
      <w:r w:rsidRPr="005A1C60">
        <w:t>En segunda medida, las teorías feministas latinoamericanas</w:t>
      </w:r>
      <w:r w:rsidR="009F53E2" w:rsidRPr="005A1C60">
        <w:t>, que si bien tienen múltiples desarrollos tienen una propuesta en común sobre l</w:t>
      </w:r>
      <w:r w:rsidR="00855D08" w:rsidRPr="005A1C60">
        <w:t>a</w:t>
      </w:r>
      <w:r w:rsidR="009F53E2" w:rsidRPr="005A1C60">
        <w:t xml:space="preserve">s apuestas claves en este proyecto: </w:t>
      </w:r>
    </w:p>
    <w:p w:rsidR="000A7617" w:rsidRPr="005A1C60" w:rsidRDefault="000A7617" w:rsidP="005A1C60">
      <w:pPr>
        <w:spacing w:before="120" w:after="120" w:line="360" w:lineRule="auto"/>
        <w:jc w:val="both"/>
        <w:rPr>
          <w:i/>
        </w:rPr>
      </w:pPr>
      <w:r w:rsidRPr="005A1C60">
        <w:rPr>
          <w:i/>
        </w:rPr>
        <w:t>Historización</w:t>
      </w:r>
    </w:p>
    <w:p w:rsidR="00855D08" w:rsidRPr="005A1C60" w:rsidRDefault="009F53E2" w:rsidP="005A1C60">
      <w:pPr>
        <w:spacing w:before="120" w:after="120" w:line="360" w:lineRule="auto"/>
        <w:jc w:val="both"/>
      </w:pPr>
      <w:r w:rsidRPr="005A1C60">
        <w:t xml:space="preserve">Se asume que </w:t>
      </w:r>
      <w:r w:rsidR="000A7617" w:rsidRPr="005A1C60">
        <w:t xml:space="preserve"> es necesario develar las redes de poder del conocimiento y de la construcción de historia oficial, en donde las mujeres han quedado relegadas de las narrativas nacionales en lugares subalternos, invisibles, débiles. En este tema ha sido clave el aporte de los estudios subalternos </w:t>
      </w:r>
      <w:r w:rsidR="005F393F">
        <w:t xml:space="preserve">sobre </w:t>
      </w:r>
      <w:r w:rsidR="000A7617" w:rsidRPr="005A1C60">
        <w:t>el poder de las historiografías oficiales en la construcción de identidades escencialistas, y en el papel asignado a las mujeres en la historia (Hernandez, 2008).</w:t>
      </w:r>
    </w:p>
    <w:p w:rsidR="00855D08" w:rsidRPr="005A1C60" w:rsidRDefault="000A7617" w:rsidP="005A1C60">
      <w:pPr>
        <w:spacing w:before="120" w:after="120" w:line="360" w:lineRule="auto"/>
        <w:jc w:val="both"/>
      </w:pPr>
      <w:r w:rsidRPr="005A1C60">
        <w:t xml:space="preserve">La manera como nos inscribimos en el mundo se traduce en historias particulares, habitamos e incorporamos una serie de formas de estructuración del mundo social en el que se reproduce el lugar de subyugación en el que las mujeres se encuentran. Por ello resulta relevante que los esfuerzos que hacemos se articulen con modos de ver, de mirar muy parados en las contextualizaciones. Al respecto Rita Laura Segato hace una propuesta para pensar el tema de la historicidad: apunta a una inter-historicidad  para señalar el lugar del pueblo como sujeto “vivo en medio de articulaciones” (Segato, </w:t>
      </w:r>
      <w:r w:rsidRPr="005A1C60">
        <w:lastRenderedPageBreak/>
        <w:t xml:space="preserve">2010). Desde el feminismo poscolonial, Segato señala que cada pueblo (no cultura ) produce su propio proceso histórico, aún en contacto con otros pueblos. Desde esta perspectiva, cada pueblo no debe ser pensado desde la patrimonialización de su cultura, como inmovilización de rasgos, características, y procesos, sino como un “vector histórico”, como movimiento (Segato, 2010).  </w:t>
      </w:r>
    </w:p>
    <w:p w:rsidR="000A7617" w:rsidRPr="005A1C60" w:rsidRDefault="000A7617" w:rsidP="005A1C60">
      <w:pPr>
        <w:spacing w:before="120" w:after="120" w:line="360" w:lineRule="auto"/>
        <w:jc w:val="both"/>
      </w:pPr>
      <w:r w:rsidRPr="005A1C60">
        <w:t>En los países andinos, diversas autoras muestran como a partir de la historia oficial y de la patrimonialización de las culturas indígenas, se ha asignado a las mujeres latinoamericanas el papel de “guardianas de la memoria y la tradición” asumiendo que deben promover la continuación de prácticas que en algunas ocasiones las relegan, las violentan, las maltratan. En su papel de “madres de la patria” se les reclama a las mujeres lealtades en forma de silenciamientos o complicidades con relaciones de poder patriarcales (Hernandez, 2008). Así, la resistencia de las mujeres indígenas ha significado que en algunos casos se les estigmatice como “enemigas” de la tradición, aquello que debe permanecer estable y sin cuestionamientos.</w:t>
      </w:r>
    </w:p>
    <w:p w:rsidR="00855D08" w:rsidRPr="005A1C60" w:rsidRDefault="000A7617" w:rsidP="005A1C60">
      <w:pPr>
        <w:spacing w:before="120" w:after="120" w:line="360" w:lineRule="auto"/>
        <w:jc w:val="both"/>
      </w:pPr>
      <w:r w:rsidRPr="005A1C60">
        <w:t>Esto no es más que otro escencialismo, basado en una lógica que idealiza lo asociado con lo indígena, y condena cualquier forma de crítica cultural. Así, el ejercicio de historizar y contextualizar permite evitar los universalismos feministas, que son perjudiciales cualquiera sea el lugar desde donde se emitan; bien sea desde los feminismos occidentales o desde los “pachamamismos” de izquierda. El historizar permite rechazar los universalismos culturales, asumiendo la cultura como un proceso histórico, no lineal. Esta descencialización tanto de la identidad como de la cultura, permite develar las relaciones de poder que sustentan las subyugaciones, invisibilizadas frecuentemente en Latinoamérica bajo reivindicaciones identitarias basadas en la etnia, o la clase (Hernandez, 2008).</w:t>
      </w:r>
    </w:p>
    <w:p w:rsidR="000A7617" w:rsidRPr="005A1C60" w:rsidRDefault="000A7617" w:rsidP="005A1C60">
      <w:pPr>
        <w:spacing w:before="120" w:after="120" w:line="360" w:lineRule="auto"/>
        <w:jc w:val="both"/>
        <w:rPr>
          <w:i/>
        </w:rPr>
      </w:pPr>
      <w:r w:rsidRPr="005A1C60">
        <w:rPr>
          <w:i/>
        </w:rPr>
        <w:t>Interseccionalidad</w:t>
      </w:r>
    </w:p>
    <w:p w:rsidR="000A7617" w:rsidRPr="005A1C60" w:rsidRDefault="000A7617" w:rsidP="005A1C60">
      <w:pPr>
        <w:spacing w:before="120" w:after="120" w:line="360" w:lineRule="auto"/>
        <w:jc w:val="both"/>
      </w:pPr>
      <w:r w:rsidRPr="005A1C60">
        <w:t xml:space="preserve">Los estudios de género y feministas  han  evidenciado que el género lejos de ser una categoría natural es una categoría construida socialmente que ha sido útil como herramienta metodológica para entender las múltiples desigualdades históricas que han situado al sujeto femenino en condición de desigualdad en múltiples escenarios. Así, a pesar de las múltiples posiciones que implican la deconstrucción de la categoría misma, es un hecho, que sigue siendo útil para entender la manera diferenciada en que los seres se relacionan en razón de un sistema sexo-genero que sitúa los cuerpos en posiciones de lugar especificas. </w:t>
      </w:r>
    </w:p>
    <w:p w:rsidR="000A7617" w:rsidRPr="005A1C60" w:rsidRDefault="000A7617" w:rsidP="005A1C60">
      <w:pPr>
        <w:spacing w:before="120" w:after="120" w:line="360" w:lineRule="auto"/>
        <w:jc w:val="both"/>
      </w:pPr>
      <w:r w:rsidRPr="005A1C60">
        <w:lastRenderedPageBreak/>
        <w:t>Sin embargo, desde los feminismos postcoloniales, feminismos de frontera y feminismos negros (Bell Hooks, 2004), se han evidenciado los riesgos de pensar en el género como única categoría de análisis, en tanto es importante entender que no existe un sujeto/sujeta femenina occidental, sino que existe una multiplicidad de diferencias, de categorías que jerarquizan el orden social. Así, las mujeres están atravesadas por otras categorías como raza, clase, etnia que las sitúan en condiciones de violencias históricas específicas. Esta articulación entre distintas posiciones de sujeto, identidades o etiquetas se ha llamado como interseccionalidad. El reto teórico y metodológico desde esta perspectiva pasa por asumir que las mujeres no son una categoría estable, ni constituyen una identidad fija. Por el contrario, es necesario entender las diferentes categorías, exclusiones y etiqueteamientos que atraviesan a las mujeres, para entender en su complejidad la realidad social.</w:t>
      </w:r>
    </w:p>
    <w:p w:rsidR="000A7617" w:rsidRPr="005A1C60" w:rsidRDefault="000A7617" w:rsidP="005A1C60">
      <w:pPr>
        <w:spacing w:before="120" w:after="120" w:line="360" w:lineRule="auto"/>
        <w:jc w:val="both"/>
      </w:pPr>
      <w:r w:rsidRPr="005A1C60">
        <w:t>Lugones (2008) a partir de los planteamientos de Quijano, afirma que el género al igual que la raza es una ficción,  construida a partir de procesos de subjetificación que crearon la dicotomía hombre/mujer, a partir de modelos epistémicos configurados con el colonialismo. Esta dicotomía trae consigo una jerarquía entre los dos géneros, y una exclusión de cualquier otra subjetividad, que quedarían relegadas a lo anormal, enfermo, desviado. Esto conto con un grado de complicidad de los hombres indígenas que configuraron los nuevos “deber ser” de lo masculino y lo femenino aceptados socialmente a partir de convenientes privilegios que aún mantienen y que se han naturalizado. El colonialismo interno es entonces la manera como se lleva a cabo el proceso de inserción de las lógicas propias de la expansión europea en las elites mestizas e incluso en muchas indígenas (Hernandez, 2008).</w:t>
      </w:r>
    </w:p>
    <w:p w:rsidR="004E2826" w:rsidRPr="005A1C60" w:rsidRDefault="000A7617" w:rsidP="005A1C60">
      <w:pPr>
        <w:spacing w:before="120" w:after="120" w:line="360" w:lineRule="auto"/>
        <w:jc w:val="both"/>
      </w:pPr>
      <w:r w:rsidRPr="005A1C60">
        <w:t>El trabajo desde la interseccionalidad, si bien complejiza profundamente el trabajo de investigación y más aún el de la generación de propuestas de intervención y la creación de agendas específicas de los movimientos,  permite entender cómo operan relaciones complejas m</w:t>
      </w:r>
      <w:r w:rsidR="00DC7981">
        <w:t xml:space="preserve">ás allá de la categoría género </w:t>
      </w:r>
      <w:r w:rsidRPr="005A1C60">
        <w:t>(Viveros, 2009).</w:t>
      </w:r>
    </w:p>
    <w:p w:rsidR="00925A0B" w:rsidRPr="00565F0A" w:rsidRDefault="00925A0B" w:rsidP="005A1C60">
      <w:pPr>
        <w:pStyle w:val="Prrafodelista"/>
        <w:widowControl w:val="0"/>
        <w:numPr>
          <w:ilvl w:val="0"/>
          <w:numId w:val="23"/>
        </w:numPr>
        <w:spacing w:before="120" w:after="120" w:line="360" w:lineRule="auto"/>
        <w:jc w:val="both"/>
        <w:rPr>
          <w:b/>
          <w:color w:val="000000"/>
          <w:lang w:val="es-CO"/>
        </w:rPr>
      </w:pPr>
      <w:r w:rsidRPr="00565F0A">
        <w:rPr>
          <w:b/>
          <w:color w:val="000000"/>
          <w:lang w:val="es-CO"/>
        </w:rPr>
        <w:t xml:space="preserve">Metodología </w:t>
      </w:r>
    </w:p>
    <w:p w:rsidR="00925A0B" w:rsidRPr="005A1C60" w:rsidRDefault="00925A0B" w:rsidP="005A1C60">
      <w:pPr>
        <w:spacing w:before="120" w:after="120" w:line="360" w:lineRule="auto"/>
        <w:jc w:val="both"/>
      </w:pPr>
      <w:r w:rsidRPr="005A1C60">
        <w:rPr>
          <w:color w:val="000000"/>
        </w:rPr>
        <w:t xml:space="preserve">El enfoque de la presente investigación será cualitativo  pues la ruta metodológica  privilegiará el reconocimiento e interpretación de los aspectos subjetivos que subyacen a la configuración de las representaciones sociales de  la </w:t>
      </w:r>
      <w:r w:rsidR="00565F0A">
        <w:t>“mujer wayú</w:t>
      </w:r>
      <w:r w:rsidRPr="005A1C60">
        <w:t>u”.</w:t>
      </w:r>
    </w:p>
    <w:p w:rsidR="00925A0B" w:rsidRPr="005A1C60" w:rsidRDefault="00925A0B" w:rsidP="005A1C60">
      <w:pPr>
        <w:spacing w:before="120" w:after="120" w:line="360" w:lineRule="auto"/>
        <w:jc w:val="both"/>
      </w:pPr>
      <w:r w:rsidRPr="005A1C60">
        <w:lastRenderedPageBreak/>
        <w:t xml:space="preserve">En ese sentido, el paradigma Comprensivo-Interpretativo y por ende perspectivas teóricas como la hermenéutica y la fenomenología, serán los fundamentos epistemológicos desde los cuales se construirán las matrices y ejercicios de triangulación para el análisis de la información. </w:t>
      </w:r>
    </w:p>
    <w:p w:rsidR="00925A0B" w:rsidRPr="005A1C60" w:rsidRDefault="00925A0B" w:rsidP="005A1C60">
      <w:pPr>
        <w:widowControl w:val="0"/>
        <w:spacing w:before="120" w:after="120" w:line="360" w:lineRule="auto"/>
        <w:jc w:val="both"/>
        <w:rPr>
          <w:color w:val="000000"/>
        </w:rPr>
      </w:pPr>
      <w:r w:rsidRPr="005A1C60">
        <w:rPr>
          <w:color w:val="000000"/>
        </w:rPr>
        <w:t>Así mismo, generar reflexiones críticas en torno a las transformaciones y dinámicas económicas que se dinamizan en el territorio donde se desarrollará la investigación, supone situarse en un plano del quehacer investigativo “crítico”, donde las perspectivas de-coloniales, aportarán a la consolidación de ejercicios metodológicos en los que las investigadoras, reconocen y reconstruyen su lugar de enunciación, a partir de la experiencia co-construida con las mujeres y demás actores que participarán en el proceso.</w:t>
      </w:r>
    </w:p>
    <w:p w:rsidR="00925A0B" w:rsidRPr="005A1C60" w:rsidRDefault="00925A0B" w:rsidP="00565F0A">
      <w:pPr>
        <w:spacing w:before="120" w:after="120"/>
        <w:ind w:left="708"/>
        <w:jc w:val="both"/>
        <w:rPr>
          <w:i/>
        </w:rPr>
      </w:pPr>
      <w:r w:rsidRPr="005A1C60">
        <w:rPr>
          <w:i/>
        </w:rPr>
        <w:t xml:space="preserve">“Las creencias y comportamientos del investigador forman parte de la evidencia empírica a favor (o en contra) de los argumentos que sustentan las conclusiones de la investigación” (Harding, 1987). </w:t>
      </w:r>
    </w:p>
    <w:p w:rsidR="00925A0B" w:rsidRPr="005A1C60" w:rsidRDefault="00925A0B" w:rsidP="005A1C60">
      <w:pPr>
        <w:widowControl w:val="0"/>
        <w:spacing w:before="120" w:after="120" w:line="360" w:lineRule="auto"/>
        <w:jc w:val="both"/>
      </w:pPr>
      <w:r w:rsidRPr="005A1C60">
        <w:t>De acuerdo a lo anterior, plantear una ruta metodológica para el abordaje y comprensión de las representaciones sociales, requiere apelar a los aportes de teóricos de la cultura y el discurso  como Serge</w:t>
      </w:r>
      <w:r w:rsidR="00565F0A">
        <w:t xml:space="preserve"> Moscovisci, </w:t>
      </w:r>
      <w:r w:rsidRPr="005A1C60">
        <w:t>Stuart Hall, John B. Thompson, entre otros, en tanto la “representación”  es la producción de significados a través del lenguaje (Palacios, 2012)</w:t>
      </w:r>
    </w:p>
    <w:p w:rsidR="00925A0B" w:rsidRPr="005A1C60" w:rsidRDefault="00925A0B" w:rsidP="005A1C60">
      <w:pPr>
        <w:widowControl w:val="0"/>
        <w:spacing w:before="120" w:after="120" w:line="360" w:lineRule="auto"/>
        <w:jc w:val="both"/>
      </w:pPr>
      <w:r w:rsidRPr="005A1C60">
        <w:t>En ese sentido, J. Thompson, con su propuesta sobre la “hermenéutica profunda” aporta una ruta clave para la comprensión de las formas simbólicas y la consolidación de un diseño metodológico coherente con los propósitos de la presente investigación.  Según Thompson, la hermenéutica profunda, supone tres dimensiones de análisis (Thompson, J.B., 1998):</w:t>
      </w:r>
    </w:p>
    <w:p w:rsidR="00925A0B" w:rsidRPr="005A1C60" w:rsidRDefault="00925A0B" w:rsidP="005A1C60">
      <w:pPr>
        <w:pStyle w:val="Prrafodelista"/>
        <w:widowControl w:val="0"/>
        <w:numPr>
          <w:ilvl w:val="0"/>
          <w:numId w:val="27"/>
        </w:numPr>
        <w:suppressAutoHyphens w:val="0"/>
        <w:autoSpaceDN/>
        <w:spacing w:before="120" w:after="120" w:line="360" w:lineRule="auto"/>
        <w:contextualSpacing/>
        <w:jc w:val="both"/>
        <w:textAlignment w:val="auto"/>
      </w:pPr>
      <w:r w:rsidRPr="005A1C60">
        <w:rPr>
          <w:b/>
          <w:i/>
        </w:rPr>
        <w:t>El análisis socio-histórico</w:t>
      </w:r>
      <w:r w:rsidRPr="005A1C60">
        <w:t xml:space="preserve">: Representa los escenarios espacio-temporales, los campos de interacción, las instituciones sociales, la estructura social  los medios de técnicos de transmisión simbólica (signos y símbolos a los que se ha apelado históricamente para transmitir conocimientos, experiencias, formas de ser y hacer). </w:t>
      </w:r>
    </w:p>
    <w:p w:rsidR="00925A0B" w:rsidRPr="005A1C60" w:rsidRDefault="00925A0B" w:rsidP="005A1C60">
      <w:pPr>
        <w:pStyle w:val="Prrafodelista"/>
        <w:widowControl w:val="0"/>
        <w:numPr>
          <w:ilvl w:val="0"/>
          <w:numId w:val="27"/>
        </w:numPr>
        <w:suppressAutoHyphens w:val="0"/>
        <w:autoSpaceDN/>
        <w:spacing w:before="120" w:after="120" w:line="360" w:lineRule="auto"/>
        <w:contextualSpacing/>
        <w:jc w:val="both"/>
        <w:textAlignment w:val="auto"/>
      </w:pPr>
      <w:r w:rsidRPr="005A1C60">
        <w:rPr>
          <w:b/>
          <w:i/>
        </w:rPr>
        <w:t>El análisis formal o discursivo</w:t>
      </w:r>
      <w:r w:rsidRPr="005A1C60">
        <w:t>: Supone el análisis, semiótico, conversacional, sintáctico, narrativo y argumentativo. En otras palabras en análisis del discurso y los contenidos de las representaciones sociales: opiniones, creencias valores, c</w:t>
      </w:r>
      <w:r w:rsidRPr="005A1C60">
        <w:t>o</w:t>
      </w:r>
      <w:r w:rsidRPr="005A1C60">
        <w:t>nocimiento heredado y transmitido.</w:t>
      </w:r>
    </w:p>
    <w:p w:rsidR="00925A0B" w:rsidRPr="005A1C60" w:rsidRDefault="00925A0B" w:rsidP="005A1C60">
      <w:pPr>
        <w:pStyle w:val="Prrafodelista"/>
        <w:widowControl w:val="0"/>
        <w:numPr>
          <w:ilvl w:val="0"/>
          <w:numId w:val="27"/>
        </w:numPr>
        <w:suppressAutoHyphens w:val="0"/>
        <w:autoSpaceDN/>
        <w:spacing w:before="120" w:after="120" w:line="360" w:lineRule="auto"/>
        <w:contextualSpacing/>
        <w:jc w:val="both"/>
        <w:textAlignment w:val="auto"/>
      </w:pPr>
      <w:r w:rsidRPr="005A1C60">
        <w:rPr>
          <w:b/>
          <w:i/>
        </w:rPr>
        <w:lastRenderedPageBreak/>
        <w:t>El proceso de interpretación/reinterpretación:</w:t>
      </w:r>
      <w:r w:rsidRPr="005A1C60">
        <w:t xml:space="preserve"> Supone el análisis y triangul</w:t>
      </w:r>
      <w:r w:rsidRPr="005A1C60">
        <w:t>a</w:t>
      </w:r>
      <w:r w:rsidRPr="005A1C60">
        <w:t xml:space="preserve">ción de los dos primeros momentos, el socio-histórico y el formal o discursivo. </w:t>
      </w:r>
    </w:p>
    <w:p w:rsidR="00925A0B" w:rsidRPr="005A1C60" w:rsidRDefault="00925A0B" w:rsidP="005A1C60">
      <w:pPr>
        <w:widowControl w:val="0"/>
        <w:spacing w:before="120" w:after="120" w:line="360" w:lineRule="auto"/>
        <w:jc w:val="both"/>
        <w:rPr>
          <w:b/>
        </w:rPr>
      </w:pPr>
      <w:r w:rsidRPr="005A1C60">
        <w:rPr>
          <w:b/>
        </w:rPr>
        <w:t>Diseño metodológico:</w:t>
      </w:r>
    </w:p>
    <w:p w:rsidR="00925A0B" w:rsidRPr="005A1C60" w:rsidRDefault="00925A0B" w:rsidP="005A1C60">
      <w:pPr>
        <w:widowControl w:val="0"/>
        <w:spacing w:before="120" w:after="120" w:line="360" w:lineRule="auto"/>
        <w:jc w:val="both"/>
        <w:rPr>
          <w:color w:val="000000"/>
        </w:rPr>
      </w:pPr>
      <w:r w:rsidRPr="005A1C60">
        <w:rPr>
          <w:color w:val="000000"/>
        </w:rPr>
        <w:t>El desarrollo del proyecto se estructuró en tres grandes momentos, “</w:t>
      </w:r>
      <w:r w:rsidRPr="005A1C60">
        <w:rPr>
          <w:b/>
          <w:i/>
          <w:color w:val="000000"/>
        </w:rPr>
        <w:t>Reconocimiento de campo o exploración”</w:t>
      </w:r>
      <w:r w:rsidRPr="005A1C60">
        <w:rPr>
          <w:color w:val="000000"/>
        </w:rPr>
        <w:t>, “</w:t>
      </w:r>
      <w:r w:rsidRPr="005A1C60">
        <w:rPr>
          <w:b/>
          <w:i/>
          <w:color w:val="000000"/>
        </w:rPr>
        <w:t>Recolección de información y sistematización”, y “Construcción del informe final”</w:t>
      </w:r>
      <w:r w:rsidRPr="005A1C60">
        <w:rPr>
          <w:color w:val="000000"/>
        </w:rPr>
        <w:t>, tal como se reporta en el siguiente cuadro explicativo:</w:t>
      </w:r>
    </w:p>
    <w:tbl>
      <w:tblPr>
        <w:tblStyle w:val="Tablaconcuadrcula"/>
        <w:tblW w:w="0" w:type="auto"/>
        <w:jc w:val="center"/>
        <w:tblLayout w:type="fixed"/>
        <w:tblLook w:val="04A0"/>
      </w:tblPr>
      <w:tblGrid>
        <w:gridCol w:w="2863"/>
        <w:gridCol w:w="1945"/>
        <w:gridCol w:w="3827"/>
      </w:tblGrid>
      <w:tr w:rsidR="00925A0B" w:rsidRPr="003256A2" w:rsidTr="00DD0A25">
        <w:trPr>
          <w:jc w:val="center"/>
        </w:trPr>
        <w:tc>
          <w:tcPr>
            <w:tcW w:w="2863" w:type="dxa"/>
            <w:shd w:val="clear" w:color="auto" w:fill="D9D9D9" w:themeFill="background1" w:themeFillShade="D9"/>
          </w:tcPr>
          <w:p w:rsidR="00925A0B" w:rsidRPr="003256A2" w:rsidRDefault="00925A0B" w:rsidP="003256A2">
            <w:pPr>
              <w:widowControl w:val="0"/>
              <w:jc w:val="center"/>
              <w:rPr>
                <w:b/>
                <w:i/>
                <w:sz w:val="20"/>
                <w:szCs w:val="20"/>
              </w:rPr>
            </w:pPr>
            <w:r w:rsidRPr="003256A2">
              <w:rPr>
                <w:b/>
                <w:i/>
                <w:sz w:val="20"/>
                <w:szCs w:val="20"/>
              </w:rPr>
              <w:t>ETAPAS MEMTODOLOGÍA HERMENÉUTICA PROFUNDA</w:t>
            </w:r>
          </w:p>
        </w:tc>
        <w:tc>
          <w:tcPr>
            <w:tcW w:w="1945" w:type="dxa"/>
            <w:shd w:val="clear" w:color="auto" w:fill="D9D9D9" w:themeFill="background1" w:themeFillShade="D9"/>
            <w:vAlign w:val="center"/>
          </w:tcPr>
          <w:p w:rsidR="00925A0B" w:rsidRPr="003256A2" w:rsidRDefault="00925A0B" w:rsidP="003256A2">
            <w:pPr>
              <w:widowControl w:val="0"/>
              <w:jc w:val="center"/>
              <w:rPr>
                <w:b/>
                <w:color w:val="000000"/>
                <w:sz w:val="20"/>
                <w:szCs w:val="20"/>
              </w:rPr>
            </w:pPr>
            <w:r w:rsidRPr="003256A2">
              <w:rPr>
                <w:b/>
                <w:color w:val="000000"/>
                <w:sz w:val="20"/>
                <w:szCs w:val="20"/>
              </w:rPr>
              <w:t>MOMENTOS INVESTGACIÓN</w:t>
            </w:r>
          </w:p>
        </w:tc>
        <w:tc>
          <w:tcPr>
            <w:tcW w:w="3827" w:type="dxa"/>
            <w:shd w:val="clear" w:color="auto" w:fill="D9D9D9" w:themeFill="background1" w:themeFillShade="D9"/>
          </w:tcPr>
          <w:p w:rsidR="00925A0B" w:rsidRPr="003256A2" w:rsidRDefault="00925A0B" w:rsidP="003256A2">
            <w:pPr>
              <w:widowControl w:val="0"/>
              <w:tabs>
                <w:tab w:val="left" w:pos="462"/>
                <w:tab w:val="center" w:pos="1382"/>
              </w:tabs>
              <w:rPr>
                <w:b/>
                <w:color w:val="000000"/>
                <w:sz w:val="20"/>
                <w:szCs w:val="20"/>
              </w:rPr>
            </w:pPr>
            <w:r w:rsidRPr="003256A2">
              <w:rPr>
                <w:b/>
                <w:color w:val="000000"/>
                <w:sz w:val="20"/>
                <w:szCs w:val="20"/>
              </w:rPr>
              <w:tab/>
            </w:r>
          </w:p>
          <w:p w:rsidR="00925A0B" w:rsidRPr="003256A2" w:rsidRDefault="00925A0B" w:rsidP="003256A2">
            <w:pPr>
              <w:widowControl w:val="0"/>
              <w:tabs>
                <w:tab w:val="left" w:pos="462"/>
                <w:tab w:val="center" w:pos="1382"/>
              </w:tabs>
              <w:jc w:val="center"/>
              <w:rPr>
                <w:b/>
                <w:color w:val="000000"/>
                <w:sz w:val="20"/>
                <w:szCs w:val="20"/>
              </w:rPr>
            </w:pPr>
            <w:r w:rsidRPr="003256A2">
              <w:rPr>
                <w:b/>
                <w:color w:val="000000"/>
                <w:sz w:val="20"/>
                <w:szCs w:val="20"/>
              </w:rPr>
              <w:t>ACTIVIDAD</w:t>
            </w:r>
          </w:p>
        </w:tc>
      </w:tr>
      <w:tr w:rsidR="00925A0B" w:rsidRPr="003256A2" w:rsidTr="00DD0A25">
        <w:trPr>
          <w:jc w:val="center"/>
        </w:trPr>
        <w:tc>
          <w:tcPr>
            <w:tcW w:w="2863" w:type="dxa"/>
            <w:vMerge w:val="restart"/>
            <w:shd w:val="clear" w:color="auto" w:fill="D9D9D9" w:themeFill="background1" w:themeFillShade="D9"/>
          </w:tcPr>
          <w:p w:rsidR="00925A0B" w:rsidRPr="003256A2" w:rsidRDefault="00925A0B" w:rsidP="003256A2">
            <w:pPr>
              <w:widowControl w:val="0"/>
              <w:jc w:val="both"/>
              <w:rPr>
                <w:b/>
                <w:i/>
                <w:sz w:val="20"/>
                <w:szCs w:val="20"/>
              </w:rPr>
            </w:pPr>
            <w:r w:rsidRPr="003256A2">
              <w:rPr>
                <w:b/>
                <w:i/>
                <w:sz w:val="20"/>
                <w:szCs w:val="20"/>
              </w:rPr>
              <w:t xml:space="preserve"> Análisis socio-histórico</w:t>
            </w:r>
          </w:p>
          <w:p w:rsidR="00925A0B" w:rsidRPr="003256A2" w:rsidRDefault="00925A0B" w:rsidP="003256A2">
            <w:pPr>
              <w:widowControl w:val="0"/>
              <w:jc w:val="both"/>
              <w:rPr>
                <w:b/>
                <w:i/>
                <w:sz w:val="20"/>
                <w:szCs w:val="20"/>
              </w:rPr>
            </w:pPr>
          </w:p>
          <w:p w:rsidR="00925A0B" w:rsidRPr="003256A2" w:rsidRDefault="00925A0B" w:rsidP="003256A2">
            <w:pPr>
              <w:widowControl w:val="0"/>
              <w:jc w:val="both"/>
              <w:rPr>
                <w:b/>
                <w:color w:val="000000"/>
                <w:sz w:val="20"/>
                <w:szCs w:val="20"/>
              </w:rPr>
            </w:pPr>
            <w:r w:rsidRPr="003256A2">
              <w:rPr>
                <w:b/>
                <w:i/>
                <w:sz w:val="20"/>
                <w:szCs w:val="20"/>
              </w:rPr>
              <w:t>Análisis formal o discursivo</w:t>
            </w:r>
          </w:p>
        </w:tc>
        <w:tc>
          <w:tcPr>
            <w:tcW w:w="1945" w:type="dxa"/>
            <w:vMerge w:val="restart"/>
            <w:shd w:val="clear" w:color="auto" w:fill="D9D9D9" w:themeFill="background1" w:themeFillShade="D9"/>
            <w:vAlign w:val="center"/>
          </w:tcPr>
          <w:p w:rsidR="00925A0B" w:rsidRPr="003256A2" w:rsidRDefault="00925A0B" w:rsidP="003256A2">
            <w:pPr>
              <w:widowControl w:val="0"/>
              <w:jc w:val="center"/>
              <w:rPr>
                <w:b/>
                <w:color w:val="000000"/>
                <w:sz w:val="20"/>
                <w:szCs w:val="20"/>
              </w:rPr>
            </w:pPr>
            <w:r w:rsidRPr="003256A2">
              <w:rPr>
                <w:b/>
                <w:color w:val="000000"/>
                <w:sz w:val="20"/>
                <w:szCs w:val="20"/>
              </w:rPr>
              <w:t xml:space="preserve">Etapa exploratoria </w:t>
            </w:r>
          </w:p>
          <w:p w:rsidR="00925A0B" w:rsidRPr="003256A2" w:rsidRDefault="00925A0B" w:rsidP="003256A2">
            <w:pPr>
              <w:widowControl w:val="0"/>
              <w:jc w:val="center"/>
              <w:rPr>
                <w:b/>
                <w:color w:val="000000"/>
                <w:sz w:val="20"/>
                <w:szCs w:val="20"/>
              </w:rPr>
            </w:pPr>
            <w:r w:rsidRPr="003256A2">
              <w:rPr>
                <w:b/>
                <w:color w:val="000000"/>
                <w:sz w:val="20"/>
                <w:szCs w:val="20"/>
              </w:rPr>
              <w:t xml:space="preserve"> –Reconocimiento de campo-</w:t>
            </w:r>
          </w:p>
        </w:tc>
        <w:tc>
          <w:tcPr>
            <w:tcW w:w="3827" w:type="dxa"/>
          </w:tcPr>
          <w:p w:rsidR="00925A0B" w:rsidRPr="003256A2" w:rsidRDefault="00925A0B" w:rsidP="003256A2">
            <w:pPr>
              <w:widowControl w:val="0"/>
              <w:jc w:val="both"/>
              <w:rPr>
                <w:color w:val="000000"/>
                <w:sz w:val="20"/>
                <w:szCs w:val="20"/>
              </w:rPr>
            </w:pPr>
            <w:r w:rsidRPr="003256A2">
              <w:rPr>
                <w:color w:val="000000"/>
                <w:sz w:val="20"/>
                <w:szCs w:val="20"/>
              </w:rPr>
              <w:t>Diseño de instrumentos y estrategia metodológica</w:t>
            </w:r>
          </w:p>
        </w:tc>
      </w:tr>
      <w:tr w:rsidR="00925A0B" w:rsidRPr="003256A2" w:rsidTr="00DD0A25">
        <w:trPr>
          <w:jc w:val="center"/>
        </w:trPr>
        <w:tc>
          <w:tcPr>
            <w:tcW w:w="2863" w:type="dxa"/>
            <w:vMerge/>
            <w:shd w:val="clear" w:color="auto" w:fill="D9D9D9" w:themeFill="background1" w:themeFillShade="D9"/>
          </w:tcPr>
          <w:p w:rsidR="00925A0B" w:rsidRPr="003256A2" w:rsidRDefault="00925A0B" w:rsidP="003256A2">
            <w:pPr>
              <w:widowControl w:val="0"/>
              <w:jc w:val="both"/>
              <w:rPr>
                <w:b/>
                <w:color w:val="000000"/>
                <w:sz w:val="20"/>
                <w:szCs w:val="20"/>
              </w:rPr>
            </w:pPr>
          </w:p>
        </w:tc>
        <w:tc>
          <w:tcPr>
            <w:tcW w:w="1945" w:type="dxa"/>
            <w:vMerge/>
            <w:shd w:val="clear" w:color="auto" w:fill="D9D9D9" w:themeFill="background1" w:themeFillShade="D9"/>
            <w:vAlign w:val="center"/>
          </w:tcPr>
          <w:p w:rsidR="00925A0B" w:rsidRPr="003256A2" w:rsidRDefault="00925A0B" w:rsidP="003256A2">
            <w:pPr>
              <w:widowControl w:val="0"/>
              <w:jc w:val="center"/>
              <w:rPr>
                <w:b/>
                <w:color w:val="000000"/>
                <w:sz w:val="20"/>
                <w:szCs w:val="20"/>
              </w:rPr>
            </w:pPr>
          </w:p>
        </w:tc>
        <w:tc>
          <w:tcPr>
            <w:tcW w:w="3827" w:type="dxa"/>
          </w:tcPr>
          <w:p w:rsidR="00925A0B" w:rsidRPr="003256A2" w:rsidRDefault="00925A0B" w:rsidP="003256A2">
            <w:pPr>
              <w:widowControl w:val="0"/>
              <w:jc w:val="both"/>
              <w:rPr>
                <w:color w:val="000000"/>
                <w:sz w:val="20"/>
                <w:szCs w:val="20"/>
              </w:rPr>
            </w:pPr>
            <w:r w:rsidRPr="003256A2">
              <w:rPr>
                <w:color w:val="000000"/>
                <w:sz w:val="20"/>
                <w:szCs w:val="20"/>
              </w:rPr>
              <w:t>Fase de observación de campo, Gestión de información secundaria, mapeo de actores</w:t>
            </w:r>
          </w:p>
        </w:tc>
      </w:tr>
      <w:tr w:rsidR="00925A0B" w:rsidRPr="003256A2" w:rsidTr="00DD0A25">
        <w:trPr>
          <w:jc w:val="center"/>
        </w:trPr>
        <w:tc>
          <w:tcPr>
            <w:tcW w:w="2863" w:type="dxa"/>
            <w:shd w:val="clear" w:color="auto" w:fill="D9D9D9" w:themeFill="background1" w:themeFillShade="D9"/>
          </w:tcPr>
          <w:p w:rsidR="00925A0B" w:rsidRPr="003256A2" w:rsidRDefault="00925A0B" w:rsidP="003256A2">
            <w:pPr>
              <w:widowControl w:val="0"/>
              <w:jc w:val="both"/>
              <w:rPr>
                <w:b/>
                <w:i/>
                <w:sz w:val="20"/>
                <w:szCs w:val="20"/>
              </w:rPr>
            </w:pPr>
            <w:r w:rsidRPr="003256A2">
              <w:rPr>
                <w:b/>
                <w:i/>
                <w:sz w:val="20"/>
                <w:szCs w:val="20"/>
              </w:rPr>
              <w:t>Análisis socio-histórico</w:t>
            </w:r>
          </w:p>
          <w:p w:rsidR="00925A0B" w:rsidRPr="003256A2" w:rsidRDefault="00925A0B" w:rsidP="003256A2">
            <w:pPr>
              <w:widowControl w:val="0"/>
              <w:jc w:val="both"/>
              <w:rPr>
                <w:b/>
                <w:i/>
                <w:sz w:val="20"/>
                <w:szCs w:val="20"/>
              </w:rPr>
            </w:pPr>
          </w:p>
          <w:p w:rsidR="00925A0B" w:rsidRPr="003256A2" w:rsidRDefault="00925A0B" w:rsidP="003256A2">
            <w:pPr>
              <w:widowControl w:val="0"/>
              <w:jc w:val="both"/>
              <w:rPr>
                <w:b/>
                <w:i/>
                <w:sz w:val="20"/>
                <w:szCs w:val="20"/>
              </w:rPr>
            </w:pPr>
            <w:r w:rsidRPr="003256A2">
              <w:rPr>
                <w:b/>
                <w:i/>
                <w:sz w:val="20"/>
                <w:szCs w:val="20"/>
              </w:rPr>
              <w:t>Análisis formal o discursivo</w:t>
            </w:r>
          </w:p>
          <w:p w:rsidR="00925A0B" w:rsidRPr="003256A2" w:rsidRDefault="00925A0B" w:rsidP="003256A2">
            <w:pPr>
              <w:widowControl w:val="0"/>
              <w:jc w:val="both"/>
              <w:rPr>
                <w:b/>
                <w:i/>
                <w:sz w:val="20"/>
                <w:szCs w:val="20"/>
              </w:rPr>
            </w:pPr>
          </w:p>
          <w:p w:rsidR="00925A0B" w:rsidRPr="003256A2" w:rsidRDefault="00925A0B" w:rsidP="003256A2">
            <w:pPr>
              <w:widowControl w:val="0"/>
              <w:jc w:val="both"/>
              <w:rPr>
                <w:b/>
                <w:color w:val="000000"/>
                <w:sz w:val="20"/>
                <w:szCs w:val="20"/>
              </w:rPr>
            </w:pPr>
            <w:r w:rsidRPr="003256A2">
              <w:rPr>
                <w:b/>
                <w:i/>
                <w:sz w:val="20"/>
                <w:szCs w:val="20"/>
              </w:rPr>
              <w:t>Proceso de interpretación/reinterpretación</w:t>
            </w:r>
          </w:p>
        </w:tc>
        <w:tc>
          <w:tcPr>
            <w:tcW w:w="1945" w:type="dxa"/>
            <w:shd w:val="clear" w:color="auto" w:fill="D9D9D9" w:themeFill="background1" w:themeFillShade="D9"/>
            <w:vAlign w:val="center"/>
          </w:tcPr>
          <w:p w:rsidR="00925A0B" w:rsidRPr="003256A2" w:rsidRDefault="00925A0B" w:rsidP="003256A2">
            <w:pPr>
              <w:widowControl w:val="0"/>
              <w:jc w:val="center"/>
              <w:rPr>
                <w:b/>
                <w:color w:val="000000"/>
                <w:sz w:val="20"/>
                <w:szCs w:val="20"/>
              </w:rPr>
            </w:pPr>
            <w:r w:rsidRPr="003256A2">
              <w:rPr>
                <w:b/>
                <w:color w:val="000000"/>
                <w:sz w:val="20"/>
                <w:szCs w:val="20"/>
              </w:rPr>
              <w:t>Recolección de información y sistematización</w:t>
            </w:r>
          </w:p>
        </w:tc>
        <w:tc>
          <w:tcPr>
            <w:tcW w:w="3827" w:type="dxa"/>
          </w:tcPr>
          <w:p w:rsidR="00925A0B" w:rsidRPr="003256A2" w:rsidRDefault="00925A0B" w:rsidP="003256A2">
            <w:pPr>
              <w:widowControl w:val="0"/>
              <w:jc w:val="both"/>
              <w:rPr>
                <w:color w:val="000000"/>
                <w:sz w:val="20"/>
                <w:szCs w:val="20"/>
              </w:rPr>
            </w:pPr>
            <w:r w:rsidRPr="003256A2">
              <w:rPr>
                <w:color w:val="000000"/>
                <w:sz w:val="20"/>
                <w:szCs w:val="20"/>
              </w:rPr>
              <w:t>Desarrollo de los objetivos específicos (aplicación de instrumentos recolección de información y sistematización)</w:t>
            </w:r>
          </w:p>
        </w:tc>
      </w:tr>
      <w:tr w:rsidR="00925A0B" w:rsidRPr="003256A2" w:rsidTr="00DD0A25">
        <w:trPr>
          <w:jc w:val="center"/>
        </w:trPr>
        <w:tc>
          <w:tcPr>
            <w:tcW w:w="2863" w:type="dxa"/>
            <w:shd w:val="clear" w:color="auto" w:fill="D9D9D9" w:themeFill="background1" w:themeFillShade="D9"/>
          </w:tcPr>
          <w:p w:rsidR="00925A0B" w:rsidRPr="003256A2" w:rsidRDefault="00925A0B" w:rsidP="003256A2">
            <w:pPr>
              <w:jc w:val="both"/>
              <w:rPr>
                <w:sz w:val="20"/>
                <w:szCs w:val="20"/>
              </w:rPr>
            </w:pPr>
            <w:r w:rsidRPr="003256A2">
              <w:rPr>
                <w:b/>
                <w:i/>
                <w:sz w:val="20"/>
                <w:szCs w:val="20"/>
              </w:rPr>
              <w:t>Proceso de interpretación/reinterpretación</w:t>
            </w:r>
          </w:p>
        </w:tc>
        <w:tc>
          <w:tcPr>
            <w:tcW w:w="1945" w:type="dxa"/>
            <w:shd w:val="clear" w:color="auto" w:fill="D9D9D9" w:themeFill="background1" w:themeFillShade="D9"/>
            <w:vAlign w:val="center"/>
          </w:tcPr>
          <w:p w:rsidR="00925A0B" w:rsidRPr="003256A2" w:rsidRDefault="00925A0B" w:rsidP="003256A2">
            <w:pPr>
              <w:widowControl w:val="0"/>
              <w:jc w:val="center"/>
              <w:rPr>
                <w:b/>
                <w:color w:val="000000"/>
                <w:sz w:val="20"/>
                <w:szCs w:val="20"/>
              </w:rPr>
            </w:pPr>
            <w:r w:rsidRPr="003256A2">
              <w:rPr>
                <w:b/>
                <w:color w:val="000000"/>
                <w:sz w:val="20"/>
                <w:szCs w:val="20"/>
              </w:rPr>
              <w:t>Construcción del informe final</w:t>
            </w:r>
          </w:p>
        </w:tc>
        <w:tc>
          <w:tcPr>
            <w:tcW w:w="3827" w:type="dxa"/>
          </w:tcPr>
          <w:p w:rsidR="00925A0B" w:rsidRPr="003256A2" w:rsidRDefault="00925A0B" w:rsidP="003256A2">
            <w:pPr>
              <w:widowControl w:val="0"/>
              <w:jc w:val="both"/>
              <w:rPr>
                <w:color w:val="000000"/>
                <w:sz w:val="20"/>
                <w:szCs w:val="20"/>
              </w:rPr>
            </w:pPr>
            <w:r w:rsidRPr="003256A2">
              <w:rPr>
                <w:color w:val="000000"/>
                <w:sz w:val="20"/>
                <w:szCs w:val="20"/>
              </w:rPr>
              <w:t xml:space="preserve">Elaboración de documento analítico. </w:t>
            </w:r>
          </w:p>
        </w:tc>
      </w:tr>
    </w:tbl>
    <w:p w:rsidR="00925A0B" w:rsidRPr="005A1C60" w:rsidRDefault="00925A0B" w:rsidP="005A1C60">
      <w:pPr>
        <w:pStyle w:val="Prrafodelista"/>
        <w:widowControl w:val="0"/>
        <w:numPr>
          <w:ilvl w:val="0"/>
          <w:numId w:val="29"/>
        </w:numPr>
        <w:suppressAutoHyphens w:val="0"/>
        <w:autoSpaceDN/>
        <w:spacing w:before="120" w:after="120" w:line="360" w:lineRule="auto"/>
        <w:contextualSpacing/>
        <w:jc w:val="both"/>
        <w:textAlignment w:val="auto"/>
        <w:rPr>
          <w:b/>
          <w:color w:val="000000"/>
        </w:rPr>
      </w:pPr>
      <w:r w:rsidRPr="005A1C60">
        <w:rPr>
          <w:b/>
          <w:color w:val="000000"/>
        </w:rPr>
        <w:t>Población</w:t>
      </w:r>
    </w:p>
    <w:p w:rsidR="00925A0B" w:rsidRPr="005A1C60" w:rsidRDefault="00925A0B" w:rsidP="005A1C60">
      <w:pPr>
        <w:pStyle w:val="Prrafodelista"/>
        <w:numPr>
          <w:ilvl w:val="0"/>
          <w:numId w:val="25"/>
        </w:numPr>
        <w:suppressAutoHyphens w:val="0"/>
        <w:autoSpaceDN/>
        <w:spacing w:before="120" w:after="120" w:line="360" w:lineRule="auto"/>
        <w:contextualSpacing/>
        <w:jc w:val="both"/>
        <w:textAlignment w:val="auto"/>
      </w:pPr>
      <w:r w:rsidRPr="005A1C60">
        <w:rPr>
          <w:b/>
          <w:color w:val="000000"/>
        </w:rPr>
        <w:t xml:space="preserve">Actores sociales: </w:t>
      </w:r>
      <w:r w:rsidRPr="005A1C60">
        <w:rPr>
          <w:color w:val="000000"/>
        </w:rPr>
        <w:t>Mujeres</w:t>
      </w:r>
      <w:r w:rsidRPr="005A1C60">
        <w:t xml:space="preserve"> Wayuu.</w:t>
      </w:r>
    </w:p>
    <w:p w:rsidR="00925A0B" w:rsidRPr="005A1C60" w:rsidRDefault="00925A0B" w:rsidP="005A1C60">
      <w:pPr>
        <w:pStyle w:val="Prrafodelista"/>
        <w:widowControl w:val="0"/>
        <w:numPr>
          <w:ilvl w:val="0"/>
          <w:numId w:val="25"/>
        </w:numPr>
        <w:suppressAutoHyphens w:val="0"/>
        <w:autoSpaceDN/>
        <w:spacing w:before="120" w:after="120" w:line="360" w:lineRule="auto"/>
        <w:contextualSpacing/>
        <w:jc w:val="both"/>
        <w:textAlignment w:val="auto"/>
        <w:rPr>
          <w:color w:val="000000"/>
        </w:rPr>
      </w:pPr>
      <w:r w:rsidRPr="005A1C60">
        <w:rPr>
          <w:b/>
          <w:color w:val="000000"/>
        </w:rPr>
        <w:t>Actores Económicos</w:t>
      </w:r>
      <w:r w:rsidRPr="005A1C60">
        <w:rPr>
          <w:color w:val="000000"/>
        </w:rPr>
        <w:t>: Representantes Cerrejón</w:t>
      </w:r>
    </w:p>
    <w:p w:rsidR="004E2826" w:rsidRPr="005A1C60" w:rsidRDefault="00925A0B" w:rsidP="005A1C60">
      <w:pPr>
        <w:pStyle w:val="Prrafodelista"/>
        <w:widowControl w:val="0"/>
        <w:numPr>
          <w:ilvl w:val="0"/>
          <w:numId w:val="25"/>
        </w:numPr>
        <w:suppressAutoHyphens w:val="0"/>
        <w:autoSpaceDN/>
        <w:spacing w:before="120" w:after="120" w:line="360" w:lineRule="auto"/>
        <w:contextualSpacing/>
        <w:jc w:val="both"/>
        <w:textAlignment w:val="auto"/>
        <w:rPr>
          <w:color w:val="000000"/>
        </w:rPr>
      </w:pPr>
      <w:r w:rsidRPr="005A1C60">
        <w:rPr>
          <w:b/>
          <w:color w:val="000000"/>
        </w:rPr>
        <w:t>Actores Institucionales</w:t>
      </w:r>
      <w:r w:rsidRPr="005A1C60">
        <w:rPr>
          <w:color w:val="000000"/>
        </w:rPr>
        <w:t>: Representantes Alcaldía Municipal, Personería Mun</w:t>
      </w:r>
      <w:r w:rsidRPr="005A1C60">
        <w:rPr>
          <w:color w:val="000000"/>
        </w:rPr>
        <w:t>i</w:t>
      </w:r>
      <w:r w:rsidRPr="005A1C60">
        <w:rPr>
          <w:color w:val="000000"/>
        </w:rPr>
        <w:t>cipal, Secretaría de Planeación. Organizaciones No gubernamentales que hacen presencia en la zona.</w:t>
      </w:r>
    </w:p>
    <w:p w:rsidR="00925A0B" w:rsidRPr="005A1C60" w:rsidRDefault="00925A0B" w:rsidP="005A1C60">
      <w:pPr>
        <w:pStyle w:val="Prrafodelista"/>
        <w:widowControl w:val="0"/>
        <w:numPr>
          <w:ilvl w:val="0"/>
          <w:numId w:val="29"/>
        </w:numPr>
        <w:suppressAutoHyphens w:val="0"/>
        <w:autoSpaceDN/>
        <w:spacing w:before="120" w:after="120" w:line="360" w:lineRule="auto"/>
        <w:contextualSpacing/>
        <w:jc w:val="both"/>
        <w:textAlignment w:val="auto"/>
        <w:rPr>
          <w:b/>
          <w:color w:val="000000"/>
        </w:rPr>
      </w:pPr>
      <w:r w:rsidRPr="005A1C60">
        <w:rPr>
          <w:b/>
          <w:color w:val="000000"/>
        </w:rPr>
        <w:t>Técnicas de investigación</w:t>
      </w:r>
    </w:p>
    <w:p w:rsidR="00925A0B" w:rsidRPr="003256A2" w:rsidRDefault="00925A0B" w:rsidP="005A1C60">
      <w:pPr>
        <w:pStyle w:val="Prrafodelista"/>
        <w:widowControl w:val="0"/>
        <w:numPr>
          <w:ilvl w:val="0"/>
          <w:numId w:val="28"/>
        </w:numPr>
        <w:suppressAutoHyphens w:val="0"/>
        <w:autoSpaceDN/>
        <w:spacing w:before="120" w:after="120" w:line="360" w:lineRule="auto"/>
        <w:contextualSpacing/>
        <w:jc w:val="both"/>
        <w:textAlignment w:val="auto"/>
        <w:rPr>
          <w:color w:val="000000"/>
        </w:rPr>
      </w:pPr>
      <w:r w:rsidRPr="005A1C60">
        <w:rPr>
          <w:color w:val="000000"/>
        </w:rPr>
        <w:t>Observación participante:</w:t>
      </w:r>
      <w:r w:rsidRPr="003256A2">
        <w:rPr>
          <w:color w:val="000000"/>
        </w:rPr>
        <w:t xml:space="preserve">El objetivo de esta técnica es detectar las situaciones en que se expresan y generan los universos culturales y sociales. Su aplicación supone  la presencia del investigador frente a los hechos de la vida cotidiana </w:t>
      </w:r>
      <w:r w:rsidRPr="003256A2">
        <w:rPr>
          <w:noProof/>
          <w:color w:val="000000"/>
          <w:lang w:val="es-CO"/>
        </w:rPr>
        <w:t xml:space="preserve"> (Guber, 2001)</w:t>
      </w:r>
      <w:r w:rsidRPr="003256A2">
        <w:rPr>
          <w:color w:val="000000"/>
        </w:rPr>
        <w:t>.  Los contextos específicos de observación para la presente inve</w:t>
      </w:r>
      <w:r w:rsidRPr="003256A2">
        <w:rPr>
          <w:color w:val="000000"/>
        </w:rPr>
        <w:t>s</w:t>
      </w:r>
      <w:r w:rsidRPr="003256A2">
        <w:rPr>
          <w:color w:val="000000"/>
        </w:rPr>
        <w:t>tigación,  serán el familiar,  económico y los contextos de interacción con otros actores (sociales e institucionales).</w:t>
      </w:r>
    </w:p>
    <w:p w:rsidR="00925A0B" w:rsidRPr="003256A2" w:rsidRDefault="00925A0B" w:rsidP="005A1C60">
      <w:pPr>
        <w:pStyle w:val="Prrafodelista"/>
        <w:widowControl w:val="0"/>
        <w:numPr>
          <w:ilvl w:val="0"/>
          <w:numId w:val="28"/>
        </w:numPr>
        <w:suppressAutoHyphens w:val="0"/>
        <w:autoSpaceDN/>
        <w:spacing w:before="120" w:after="120" w:line="360" w:lineRule="auto"/>
        <w:contextualSpacing/>
        <w:jc w:val="both"/>
        <w:textAlignment w:val="auto"/>
        <w:rPr>
          <w:color w:val="000000"/>
        </w:rPr>
      </w:pPr>
      <w:r w:rsidRPr="005A1C60">
        <w:rPr>
          <w:color w:val="000000"/>
        </w:rPr>
        <w:t>Historia de vida</w:t>
      </w:r>
      <w:r w:rsidR="003256A2">
        <w:rPr>
          <w:color w:val="000000"/>
        </w:rPr>
        <w:t xml:space="preserve">: </w:t>
      </w:r>
      <w:r w:rsidRPr="003256A2">
        <w:rPr>
          <w:color w:val="000000"/>
        </w:rPr>
        <w:t>Con esta técnica, se busca recuperar los relatos de algunas m</w:t>
      </w:r>
      <w:r w:rsidRPr="003256A2">
        <w:rPr>
          <w:color w:val="000000"/>
        </w:rPr>
        <w:t>u</w:t>
      </w:r>
      <w:r w:rsidRPr="003256A2">
        <w:rPr>
          <w:color w:val="000000"/>
        </w:rPr>
        <w:t>jeres sobre su vida y la incidencia de las economías extractivas tanto en su cot</w:t>
      </w:r>
      <w:r w:rsidRPr="003256A2">
        <w:rPr>
          <w:color w:val="000000"/>
        </w:rPr>
        <w:t>i</w:t>
      </w:r>
      <w:r w:rsidRPr="003256A2">
        <w:rPr>
          <w:color w:val="000000"/>
        </w:rPr>
        <w:t xml:space="preserve">dianidad como en las formas de relacionamiento con otros actores y el territorio que habitan. Los criterios para elección de estas mujeres son: la posición que </w:t>
      </w:r>
      <w:r w:rsidRPr="003256A2">
        <w:rPr>
          <w:color w:val="000000"/>
        </w:rPr>
        <w:lastRenderedPageBreak/>
        <w:t>ocupan al interior de la comunidad así como el conocimiento y experiencia sobre el tema.</w:t>
      </w:r>
    </w:p>
    <w:p w:rsidR="00925A0B" w:rsidRPr="003256A2" w:rsidRDefault="00925A0B" w:rsidP="003256A2">
      <w:pPr>
        <w:pStyle w:val="Prrafodelista"/>
        <w:widowControl w:val="0"/>
        <w:numPr>
          <w:ilvl w:val="0"/>
          <w:numId w:val="28"/>
        </w:numPr>
        <w:suppressAutoHyphens w:val="0"/>
        <w:autoSpaceDN/>
        <w:spacing w:before="120" w:after="120" w:line="360" w:lineRule="auto"/>
        <w:contextualSpacing/>
        <w:jc w:val="both"/>
        <w:textAlignment w:val="auto"/>
        <w:rPr>
          <w:color w:val="000000"/>
        </w:rPr>
      </w:pPr>
      <w:r w:rsidRPr="005A1C60">
        <w:rPr>
          <w:color w:val="000000"/>
        </w:rPr>
        <w:t>Entrevistas semi-estructuradas</w:t>
      </w:r>
      <w:r w:rsidR="003256A2">
        <w:rPr>
          <w:color w:val="000000"/>
        </w:rPr>
        <w:t xml:space="preserve">: </w:t>
      </w:r>
      <w:r w:rsidRPr="003256A2">
        <w:rPr>
          <w:color w:val="000000"/>
        </w:rPr>
        <w:t>La entrevista es una situación cara a cara donde se encuentran distintas reflexividades pero, también, donde se produce una nu</w:t>
      </w:r>
      <w:r w:rsidRPr="003256A2">
        <w:rPr>
          <w:color w:val="000000"/>
        </w:rPr>
        <w:t>e</w:t>
      </w:r>
      <w:r w:rsidRPr="003256A2">
        <w:rPr>
          <w:color w:val="000000"/>
        </w:rPr>
        <w:t xml:space="preserve">va reflexividad. </w:t>
      </w:r>
      <w:r w:rsidRPr="003256A2">
        <w:rPr>
          <w:noProof/>
          <w:color w:val="000000"/>
          <w:lang w:val="es-CO"/>
        </w:rPr>
        <w:t xml:space="preserve"> (Guber, 2001)</w:t>
      </w:r>
      <w:r w:rsidRPr="003256A2">
        <w:rPr>
          <w:color w:val="000000"/>
          <w:lang w:val="es-CO"/>
        </w:rPr>
        <w:t>. Este tipo de entrevista, permite tener un con</w:t>
      </w:r>
      <w:r w:rsidRPr="003256A2">
        <w:rPr>
          <w:color w:val="000000"/>
          <w:lang w:val="es-CO"/>
        </w:rPr>
        <w:t>o</w:t>
      </w:r>
      <w:r w:rsidRPr="003256A2">
        <w:rPr>
          <w:color w:val="000000"/>
          <w:lang w:val="es-CO"/>
        </w:rPr>
        <w:t>cimiento más amplio de las opiniones y percepciones de los sujetos sociales.  Este instrumento se aplicará a representantes del sector económico extractivista presente en la región (Minería).</w:t>
      </w:r>
    </w:p>
    <w:p w:rsidR="00925A0B" w:rsidRPr="003256A2" w:rsidRDefault="00925A0B" w:rsidP="005A1C60">
      <w:pPr>
        <w:pStyle w:val="Prrafodelista"/>
        <w:widowControl w:val="0"/>
        <w:numPr>
          <w:ilvl w:val="0"/>
          <w:numId w:val="28"/>
        </w:numPr>
        <w:suppressAutoHyphens w:val="0"/>
        <w:autoSpaceDN/>
        <w:spacing w:before="120" w:after="120" w:line="360" w:lineRule="auto"/>
        <w:contextualSpacing/>
        <w:jc w:val="both"/>
        <w:textAlignment w:val="auto"/>
        <w:rPr>
          <w:color w:val="000000"/>
        </w:rPr>
      </w:pPr>
      <w:r w:rsidRPr="005A1C60">
        <w:rPr>
          <w:color w:val="000000"/>
        </w:rPr>
        <w:t>Reconstrucción colectiva de la historia</w:t>
      </w:r>
      <w:r w:rsidR="003256A2">
        <w:rPr>
          <w:color w:val="000000"/>
        </w:rPr>
        <w:t xml:space="preserve">: </w:t>
      </w:r>
      <w:r w:rsidRPr="003256A2">
        <w:rPr>
          <w:color w:val="000000"/>
        </w:rPr>
        <w:t>“La memoria colectiva puede entenderse como el proceso social de reconstrucción del pasado vivido y experimentado por un determinado grupo, comunidad o sociedad. […] La memoria, entonces, no se encuentra por fuera de los grupos, de las sociedades, de las colectividades; al contrario, es ahí donde se gesta”</w:t>
      </w:r>
      <w:r w:rsidRPr="003256A2">
        <w:rPr>
          <w:noProof/>
          <w:color w:val="000000"/>
          <w:lang w:val="es-CO"/>
        </w:rPr>
        <w:t xml:space="preserve"> (Universidad Jaume I, 2012)</w:t>
      </w:r>
      <w:r w:rsidRPr="003256A2">
        <w:rPr>
          <w:color w:val="000000"/>
        </w:rPr>
        <w:t xml:space="preserve">.  Con esta técnica se busca </w:t>
      </w:r>
      <w:r w:rsidRPr="005A1C60">
        <w:t xml:space="preserve">reconstruir colectivamente, los procesos históricos desde las mujeres en el contexto de la puesta en escena de las economías extractivas. </w:t>
      </w:r>
    </w:p>
    <w:p w:rsidR="00925A0B" w:rsidRPr="005A1C60" w:rsidRDefault="00925A0B" w:rsidP="005A1C60">
      <w:pPr>
        <w:pStyle w:val="Prrafodelista"/>
        <w:widowControl w:val="0"/>
        <w:numPr>
          <w:ilvl w:val="0"/>
          <w:numId w:val="29"/>
        </w:numPr>
        <w:suppressAutoHyphens w:val="0"/>
        <w:autoSpaceDN/>
        <w:spacing w:before="120" w:after="120" w:line="360" w:lineRule="auto"/>
        <w:contextualSpacing/>
        <w:jc w:val="both"/>
        <w:textAlignment w:val="auto"/>
        <w:rPr>
          <w:b/>
          <w:color w:val="000000"/>
        </w:rPr>
      </w:pPr>
      <w:r w:rsidRPr="005A1C60">
        <w:rPr>
          <w:b/>
          <w:color w:val="000000"/>
        </w:rPr>
        <w:t>Herramientas de recolección de información</w:t>
      </w:r>
    </w:p>
    <w:p w:rsidR="00925A0B" w:rsidRPr="005A1C60" w:rsidRDefault="00925A0B" w:rsidP="005A1C60">
      <w:pPr>
        <w:pStyle w:val="Prrafodelista"/>
        <w:widowControl w:val="0"/>
        <w:numPr>
          <w:ilvl w:val="0"/>
          <w:numId w:val="30"/>
        </w:numPr>
        <w:suppressAutoHyphens w:val="0"/>
        <w:autoSpaceDN/>
        <w:spacing w:before="120" w:after="120" w:line="360" w:lineRule="auto"/>
        <w:contextualSpacing/>
        <w:jc w:val="both"/>
        <w:textAlignment w:val="auto"/>
        <w:rPr>
          <w:color w:val="000000"/>
        </w:rPr>
      </w:pPr>
      <w:r w:rsidRPr="005A1C60">
        <w:rPr>
          <w:color w:val="000000"/>
        </w:rPr>
        <w:t>Línea de tiempo</w:t>
      </w:r>
    </w:p>
    <w:p w:rsidR="00925A0B" w:rsidRPr="005A1C60" w:rsidRDefault="00925A0B" w:rsidP="005A1C60">
      <w:pPr>
        <w:pStyle w:val="Prrafodelista"/>
        <w:widowControl w:val="0"/>
        <w:numPr>
          <w:ilvl w:val="0"/>
          <w:numId w:val="30"/>
        </w:numPr>
        <w:suppressAutoHyphens w:val="0"/>
        <w:autoSpaceDN/>
        <w:spacing w:before="120" w:after="120" w:line="360" w:lineRule="auto"/>
        <w:contextualSpacing/>
        <w:jc w:val="both"/>
        <w:textAlignment w:val="auto"/>
        <w:rPr>
          <w:color w:val="000000"/>
        </w:rPr>
      </w:pPr>
      <w:r w:rsidRPr="005A1C60">
        <w:rPr>
          <w:color w:val="000000"/>
        </w:rPr>
        <w:t>Cartografía social</w:t>
      </w:r>
    </w:p>
    <w:p w:rsidR="00925A0B" w:rsidRPr="005A1C60" w:rsidRDefault="00925A0B" w:rsidP="005A1C60">
      <w:pPr>
        <w:pStyle w:val="Prrafodelista"/>
        <w:widowControl w:val="0"/>
        <w:numPr>
          <w:ilvl w:val="0"/>
          <w:numId w:val="30"/>
        </w:numPr>
        <w:suppressAutoHyphens w:val="0"/>
        <w:autoSpaceDN/>
        <w:spacing w:before="120" w:after="120" w:line="360" w:lineRule="auto"/>
        <w:contextualSpacing/>
        <w:jc w:val="both"/>
        <w:textAlignment w:val="auto"/>
        <w:rPr>
          <w:color w:val="000000"/>
        </w:rPr>
      </w:pPr>
      <w:r w:rsidRPr="005A1C60">
        <w:rPr>
          <w:color w:val="000000"/>
        </w:rPr>
        <w:t>Metaplan</w:t>
      </w:r>
    </w:p>
    <w:p w:rsidR="00925A0B" w:rsidRPr="005A1C60" w:rsidRDefault="00925A0B" w:rsidP="005A1C60">
      <w:pPr>
        <w:pStyle w:val="Prrafodelista"/>
        <w:widowControl w:val="0"/>
        <w:numPr>
          <w:ilvl w:val="0"/>
          <w:numId w:val="30"/>
        </w:numPr>
        <w:suppressAutoHyphens w:val="0"/>
        <w:autoSpaceDN/>
        <w:spacing w:before="120" w:after="120" w:line="360" w:lineRule="auto"/>
        <w:contextualSpacing/>
        <w:jc w:val="both"/>
        <w:textAlignment w:val="auto"/>
        <w:rPr>
          <w:color w:val="000000"/>
        </w:rPr>
      </w:pPr>
      <w:r w:rsidRPr="005A1C60">
        <w:rPr>
          <w:color w:val="000000"/>
        </w:rPr>
        <w:t xml:space="preserve">Guía de observación </w:t>
      </w:r>
    </w:p>
    <w:p w:rsidR="00925A0B" w:rsidRPr="005A1C60" w:rsidRDefault="00925A0B" w:rsidP="005A1C60">
      <w:pPr>
        <w:pStyle w:val="Prrafodelista"/>
        <w:widowControl w:val="0"/>
        <w:numPr>
          <w:ilvl w:val="0"/>
          <w:numId w:val="30"/>
        </w:numPr>
        <w:suppressAutoHyphens w:val="0"/>
        <w:autoSpaceDN/>
        <w:spacing w:before="120" w:after="120" w:line="360" w:lineRule="auto"/>
        <w:contextualSpacing/>
        <w:jc w:val="both"/>
        <w:textAlignment w:val="auto"/>
        <w:rPr>
          <w:color w:val="000000"/>
        </w:rPr>
      </w:pPr>
      <w:r w:rsidRPr="005A1C60">
        <w:rPr>
          <w:color w:val="000000"/>
        </w:rPr>
        <w:t>Guía de entrevista</w:t>
      </w:r>
    </w:p>
    <w:p w:rsidR="00925A0B" w:rsidRPr="005A1C60" w:rsidRDefault="00925A0B" w:rsidP="005A1C60">
      <w:pPr>
        <w:widowControl w:val="0"/>
        <w:spacing w:before="120" w:after="120" w:line="360" w:lineRule="auto"/>
        <w:jc w:val="both"/>
        <w:rPr>
          <w:b/>
          <w:color w:val="000000"/>
        </w:rPr>
      </w:pPr>
      <w:r w:rsidRPr="005A1C60">
        <w:rPr>
          <w:color w:val="000000"/>
        </w:rPr>
        <w:t>A continuación se presenta un cuadro detallado con los objetivos específicos y técnicas de recolecciónde información definidas para el desarrollo de la investigación:</w:t>
      </w:r>
    </w:p>
    <w:p w:rsidR="00925A0B" w:rsidRPr="005A1C60" w:rsidRDefault="00925A0B" w:rsidP="005A1C60">
      <w:pPr>
        <w:widowControl w:val="0"/>
        <w:spacing w:before="120" w:after="120" w:line="360" w:lineRule="auto"/>
        <w:jc w:val="center"/>
        <w:rPr>
          <w:b/>
          <w:color w:val="000000"/>
        </w:rPr>
        <w:sectPr w:rsidR="00925A0B" w:rsidRPr="005A1C60" w:rsidSect="006061D0">
          <w:headerReference w:type="default" r:id="rId8"/>
          <w:pgSz w:w="11906" w:h="16838"/>
          <w:pgMar w:top="1417" w:right="1701" w:bottom="1417" w:left="1701" w:header="708" w:footer="708" w:gutter="0"/>
          <w:cols w:space="708"/>
          <w:docGrid w:linePitch="360"/>
        </w:sectPr>
      </w:pPr>
    </w:p>
    <w:tbl>
      <w:tblPr>
        <w:tblStyle w:val="Tablaconcuadrcula"/>
        <w:tblW w:w="14141" w:type="dxa"/>
        <w:tblLayout w:type="fixed"/>
        <w:tblLook w:val="04A0"/>
      </w:tblPr>
      <w:tblGrid>
        <w:gridCol w:w="2660"/>
        <w:gridCol w:w="2354"/>
        <w:gridCol w:w="2531"/>
        <w:gridCol w:w="3336"/>
        <w:gridCol w:w="3260"/>
      </w:tblGrid>
      <w:tr w:rsidR="00925A0B" w:rsidRPr="004772F3" w:rsidTr="00895926">
        <w:trPr>
          <w:tblHeader/>
        </w:trPr>
        <w:tc>
          <w:tcPr>
            <w:tcW w:w="2660" w:type="dxa"/>
          </w:tcPr>
          <w:p w:rsidR="00925A0B" w:rsidRPr="004772F3" w:rsidRDefault="00925A0B" w:rsidP="004772F3">
            <w:pPr>
              <w:widowControl w:val="0"/>
              <w:spacing w:before="120" w:after="120"/>
              <w:jc w:val="center"/>
              <w:rPr>
                <w:b/>
                <w:color w:val="000000"/>
                <w:sz w:val="20"/>
                <w:szCs w:val="20"/>
              </w:rPr>
            </w:pPr>
            <w:r w:rsidRPr="004772F3">
              <w:rPr>
                <w:b/>
                <w:color w:val="000000"/>
                <w:sz w:val="20"/>
                <w:szCs w:val="20"/>
              </w:rPr>
              <w:lastRenderedPageBreak/>
              <w:t>Objetivo</w:t>
            </w:r>
          </w:p>
        </w:tc>
        <w:tc>
          <w:tcPr>
            <w:tcW w:w="2354" w:type="dxa"/>
          </w:tcPr>
          <w:p w:rsidR="00925A0B" w:rsidRPr="004772F3" w:rsidRDefault="00925A0B" w:rsidP="004772F3">
            <w:pPr>
              <w:widowControl w:val="0"/>
              <w:spacing w:before="120" w:after="120"/>
              <w:jc w:val="center"/>
              <w:rPr>
                <w:b/>
                <w:color w:val="000000"/>
                <w:sz w:val="20"/>
                <w:szCs w:val="20"/>
              </w:rPr>
            </w:pPr>
            <w:r w:rsidRPr="004772F3">
              <w:rPr>
                <w:b/>
                <w:color w:val="000000"/>
                <w:sz w:val="20"/>
                <w:szCs w:val="20"/>
              </w:rPr>
              <w:t>Momento hermenéutica profunda</w:t>
            </w:r>
          </w:p>
        </w:tc>
        <w:tc>
          <w:tcPr>
            <w:tcW w:w="2531" w:type="dxa"/>
          </w:tcPr>
          <w:p w:rsidR="00925A0B" w:rsidRPr="004772F3" w:rsidRDefault="00925A0B" w:rsidP="004772F3">
            <w:pPr>
              <w:widowControl w:val="0"/>
              <w:spacing w:before="120" w:after="120"/>
              <w:jc w:val="center"/>
              <w:rPr>
                <w:b/>
                <w:color w:val="000000"/>
                <w:sz w:val="20"/>
                <w:szCs w:val="20"/>
              </w:rPr>
            </w:pPr>
            <w:r w:rsidRPr="004772F3">
              <w:rPr>
                <w:b/>
                <w:color w:val="000000"/>
                <w:sz w:val="20"/>
                <w:szCs w:val="20"/>
              </w:rPr>
              <w:t>Categorías de análisis</w:t>
            </w:r>
          </w:p>
        </w:tc>
        <w:tc>
          <w:tcPr>
            <w:tcW w:w="3336" w:type="dxa"/>
          </w:tcPr>
          <w:p w:rsidR="00925A0B" w:rsidRPr="004772F3" w:rsidRDefault="00925A0B" w:rsidP="004772F3">
            <w:pPr>
              <w:widowControl w:val="0"/>
              <w:spacing w:before="120" w:after="120"/>
              <w:jc w:val="center"/>
              <w:rPr>
                <w:b/>
                <w:color w:val="000000"/>
                <w:sz w:val="20"/>
                <w:szCs w:val="20"/>
              </w:rPr>
            </w:pPr>
            <w:r w:rsidRPr="004772F3">
              <w:rPr>
                <w:b/>
                <w:color w:val="000000"/>
                <w:sz w:val="20"/>
                <w:szCs w:val="20"/>
              </w:rPr>
              <w:t>Técnica de Investigación</w:t>
            </w:r>
          </w:p>
        </w:tc>
        <w:tc>
          <w:tcPr>
            <w:tcW w:w="3260" w:type="dxa"/>
          </w:tcPr>
          <w:p w:rsidR="00925A0B" w:rsidRPr="004772F3" w:rsidRDefault="00925A0B" w:rsidP="004772F3">
            <w:pPr>
              <w:widowControl w:val="0"/>
              <w:spacing w:before="120" w:after="120"/>
              <w:jc w:val="center"/>
              <w:rPr>
                <w:b/>
                <w:color w:val="000000"/>
                <w:sz w:val="20"/>
                <w:szCs w:val="20"/>
              </w:rPr>
            </w:pPr>
            <w:r w:rsidRPr="004772F3">
              <w:rPr>
                <w:b/>
                <w:color w:val="000000"/>
                <w:sz w:val="20"/>
                <w:szCs w:val="20"/>
              </w:rPr>
              <w:t>Instrumento</w:t>
            </w:r>
          </w:p>
          <w:p w:rsidR="00925A0B" w:rsidRPr="004772F3" w:rsidRDefault="00925A0B" w:rsidP="004772F3">
            <w:pPr>
              <w:widowControl w:val="0"/>
              <w:spacing w:before="120" w:after="120"/>
              <w:jc w:val="center"/>
              <w:rPr>
                <w:b/>
                <w:color w:val="000000"/>
                <w:sz w:val="20"/>
                <w:szCs w:val="20"/>
              </w:rPr>
            </w:pPr>
            <w:r w:rsidRPr="004772F3">
              <w:rPr>
                <w:b/>
                <w:color w:val="000000"/>
                <w:sz w:val="20"/>
                <w:szCs w:val="20"/>
              </w:rPr>
              <w:t>de Recolección</w:t>
            </w:r>
          </w:p>
        </w:tc>
      </w:tr>
      <w:tr w:rsidR="00925A0B" w:rsidRPr="004772F3" w:rsidTr="00895926">
        <w:tc>
          <w:tcPr>
            <w:tcW w:w="2660" w:type="dxa"/>
          </w:tcPr>
          <w:p w:rsidR="000E4A9B" w:rsidRPr="004772F3" w:rsidRDefault="000E4A9B" w:rsidP="004772F3">
            <w:pPr>
              <w:suppressAutoHyphens w:val="0"/>
              <w:autoSpaceDN/>
              <w:spacing w:before="120" w:after="120"/>
              <w:contextualSpacing/>
              <w:jc w:val="both"/>
              <w:textAlignment w:val="auto"/>
              <w:rPr>
                <w:sz w:val="20"/>
                <w:szCs w:val="20"/>
              </w:rPr>
            </w:pPr>
            <w:r w:rsidRPr="004772F3">
              <w:rPr>
                <w:sz w:val="20"/>
                <w:szCs w:val="20"/>
              </w:rPr>
              <w:t>Identificar  las representaci</w:t>
            </w:r>
            <w:r w:rsidRPr="004772F3">
              <w:rPr>
                <w:sz w:val="20"/>
                <w:szCs w:val="20"/>
              </w:rPr>
              <w:t>o</w:t>
            </w:r>
            <w:r w:rsidRPr="004772F3">
              <w:rPr>
                <w:sz w:val="20"/>
                <w:szCs w:val="20"/>
              </w:rPr>
              <w:t>nes sociales de las mujeres Wayuu por parte de su com</w:t>
            </w:r>
            <w:r w:rsidRPr="004772F3">
              <w:rPr>
                <w:sz w:val="20"/>
                <w:szCs w:val="20"/>
              </w:rPr>
              <w:t>u</w:t>
            </w:r>
            <w:r w:rsidRPr="004772F3">
              <w:rPr>
                <w:sz w:val="20"/>
                <w:szCs w:val="20"/>
              </w:rPr>
              <w:t>nidad.</w:t>
            </w:r>
          </w:p>
          <w:p w:rsidR="00925A0B" w:rsidRPr="004772F3" w:rsidRDefault="00925A0B" w:rsidP="004772F3">
            <w:pPr>
              <w:suppressAutoHyphens w:val="0"/>
              <w:autoSpaceDN/>
              <w:spacing w:before="120" w:after="120"/>
              <w:contextualSpacing/>
              <w:jc w:val="both"/>
              <w:textAlignment w:val="auto"/>
              <w:rPr>
                <w:sz w:val="20"/>
                <w:szCs w:val="20"/>
                <w:lang w:val="es-CO"/>
              </w:rPr>
            </w:pPr>
          </w:p>
        </w:tc>
        <w:tc>
          <w:tcPr>
            <w:tcW w:w="2354" w:type="dxa"/>
          </w:tcPr>
          <w:p w:rsidR="00925A0B" w:rsidRPr="004772F3" w:rsidRDefault="00925A0B" w:rsidP="004772F3">
            <w:pPr>
              <w:spacing w:before="120" w:after="120"/>
              <w:jc w:val="both"/>
              <w:rPr>
                <w:sz w:val="20"/>
                <w:szCs w:val="20"/>
              </w:rPr>
            </w:pPr>
            <w:r w:rsidRPr="004772F3">
              <w:rPr>
                <w:sz w:val="20"/>
                <w:szCs w:val="20"/>
              </w:rPr>
              <w:t>Análisis socio-histórico</w:t>
            </w:r>
          </w:p>
          <w:p w:rsidR="00925A0B" w:rsidRPr="004772F3" w:rsidRDefault="00925A0B" w:rsidP="004772F3">
            <w:pPr>
              <w:widowControl w:val="0"/>
              <w:spacing w:before="120" w:after="120"/>
              <w:jc w:val="both"/>
              <w:rPr>
                <w:sz w:val="20"/>
                <w:szCs w:val="20"/>
              </w:rPr>
            </w:pPr>
            <w:r w:rsidRPr="004772F3">
              <w:rPr>
                <w:sz w:val="20"/>
                <w:szCs w:val="20"/>
              </w:rPr>
              <w:t>Análisis formal o discursivo</w:t>
            </w:r>
          </w:p>
          <w:p w:rsidR="00925A0B" w:rsidRPr="004772F3" w:rsidRDefault="00925A0B" w:rsidP="004772F3">
            <w:pPr>
              <w:spacing w:before="120" w:after="120"/>
              <w:jc w:val="both"/>
              <w:rPr>
                <w:sz w:val="20"/>
                <w:szCs w:val="20"/>
              </w:rPr>
            </w:pPr>
          </w:p>
          <w:p w:rsidR="00925A0B" w:rsidRPr="004772F3" w:rsidRDefault="00925A0B" w:rsidP="004772F3">
            <w:pPr>
              <w:spacing w:before="120" w:after="120"/>
              <w:jc w:val="both"/>
              <w:rPr>
                <w:sz w:val="20"/>
                <w:szCs w:val="20"/>
              </w:rPr>
            </w:pPr>
          </w:p>
          <w:p w:rsidR="00925A0B" w:rsidRPr="004772F3" w:rsidRDefault="00925A0B" w:rsidP="004772F3">
            <w:pPr>
              <w:spacing w:before="120" w:after="120"/>
              <w:jc w:val="both"/>
              <w:rPr>
                <w:color w:val="000000"/>
                <w:sz w:val="20"/>
                <w:szCs w:val="20"/>
              </w:rPr>
            </w:pPr>
          </w:p>
        </w:tc>
        <w:tc>
          <w:tcPr>
            <w:tcW w:w="2531" w:type="dxa"/>
          </w:tcPr>
          <w:p w:rsidR="00925A0B" w:rsidRPr="004772F3" w:rsidRDefault="00925A0B" w:rsidP="004772F3">
            <w:pPr>
              <w:spacing w:before="120" w:after="120"/>
              <w:jc w:val="both"/>
              <w:rPr>
                <w:color w:val="000000"/>
                <w:sz w:val="20"/>
                <w:szCs w:val="20"/>
              </w:rPr>
            </w:pPr>
            <w:r w:rsidRPr="004772F3">
              <w:rPr>
                <w:color w:val="000000"/>
                <w:sz w:val="20"/>
                <w:szCs w:val="20"/>
              </w:rPr>
              <w:t>Representaciones Sociales</w:t>
            </w:r>
          </w:p>
          <w:p w:rsidR="00855D08" w:rsidRPr="004772F3" w:rsidRDefault="00855D08" w:rsidP="004772F3">
            <w:pPr>
              <w:spacing w:before="120" w:after="120"/>
              <w:jc w:val="both"/>
              <w:rPr>
                <w:color w:val="000000"/>
                <w:sz w:val="20"/>
                <w:szCs w:val="20"/>
              </w:rPr>
            </w:pPr>
            <w:r w:rsidRPr="004772F3">
              <w:rPr>
                <w:color w:val="000000"/>
                <w:sz w:val="20"/>
                <w:szCs w:val="20"/>
              </w:rPr>
              <w:t>Historización</w:t>
            </w:r>
          </w:p>
          <w:p w:rsidR="00855D08" w:rsidRPr="004772F3" w:rsidRDefault="00855D08" w:rsidP="004772F3">
            <w:pPr>
              <w:spacing w:before="120" w:after="120"/>
              <w:jc w:val="both"/>
              <w:rPr>
                <w:color w:val="000000"/>
                <w:sz w:val="20"/>
                <w:szCs w:val="20"/>
              </w:rPr>
            </w:pPr>
            <w:r w:rsidRPr="004772F3">
              <w:rPr>
                <w:color w:val="000000"/>
                <w:sz w:val="20"/>
                <w:szCs w:val="20"/>
              </w:rPr>
              <w:t>Patrimonialización</w:t>
            </w:r>
          </w:p>
          <w:p w:rsidR="00855D08" w:rsidRPr="004772F3" w:rsidRDefault="00855D08" w:rsidP="004772F3">
            <w:pPr>
              <w:spacing w:before="120" w:after="120"/>
              <w:jc w:val="both"/>
              <w:rPr>
                <w:color w:val="000000"/>
                <w:sz w:val="20"/>
                <w:szCs w:val="20"/>
              </w:rPr>
            </w:pPr>
            <w:r w:rsidRPr="004772F3">
              <w:rPr>
                <w:color w:val="000000"/>
                <w:sz w:val="20"/>
                <w:szCs w:val="20"/>
              </w:rPr>
              <w:t>Interseccionalidad</w:t>
            </w:r>
          </w:p>
          <w:p w:rsidR="00925A0B" w:rsidRPr="004772F3" w:rsidRDefault="00925A0B" w:rsidP="004772F3">
            <w:pPr>
              <w:spacing w:before="120" w:after="120"/>
              <w:jc w:val="both"/>
              <w:rPr>
                <w:color w:val="000000"/>
                <w:sz w:val="20"/>
                <w:szCs w:val="20"/>
              </w:rPr>
            </w:pPr>
          </w:p>
        </w:tc>
        <w:tc>
          <w:tcPr>
            <w:tcW w:w="3336"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Revisión de fuentes secundarias.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Observación participante</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Reconstrucción colectiva de la memoria.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Historia de vida</w:t>
            </w:r>
          </w:p>
          <w:p w:rsidR="00925A0B" w:rsidRPr="004772F3" w:rsidRDefault="00925A0B" w:rsidP="004772F3">
            <w:pPr>
              <w:widowControl w:val="0"/>
              <w:spacing w:before="120" w:after="120"/>
              <w:jc w:val="both"/>
              <w:rPr>
                <w:color w:val="C00000"/>
                <w:sz w:val="20"/>
                <w:szCs w:val="20"/>
              </w:rPr>
            </w:pPr>
            <w:r w:rsidRPr="004772F3">
              <w:rPr>
                <w:color w:val="000000"/>
                <w:sz w:val="20"/>
                <w:szCs w:val="20"/>
              </w:rPr>
              <w:t>Entrevista semi-estructurada con actores institucionales, económicos.</w:t>
            </w:r>
          </w:p>
        </w:tc>
        <w:tc>
          <w:tcPr>
            <w:tcW w:w="3260"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Matriz de clasificación de archivo</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para la RCH</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de observación, Diario de campo</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de entrevista semi-estructurada</w:t>
            </w:r>
          </w:p>
          <w:p w:rsidR="00925A0B" w:rsidRPr="004772F3" w:rsidRDefault="00925A0B" w:rsidP="004772F3">
            <w:pPr>
              <w:widowControl w:val="0"/>
              <w:spacing w:before="120" w:after="120"/>
              <w:jc w:val="both"/>
              <w:rPr>
                <w:color w:val="000000"/>
                <w:sz w:val="20"/>
                <w:szCs w:val="20"/>
              </w:rPr>
            </w:pPr>
          </w:p>
          <w:p w:rsidR="00925A0B" w:rsidRPr="004772F3" w:rsidRDefault="00925A0B" w:rsidP="004772F3">
            <w:pPr>
              <w:widowControl w:val="0"/>
              <w:spacing w:before="120" w:after="120"/>
              <w:jc w:val="both"/>
              <w:rPr>
                <w:color w:val="000000"/>
                <w:sz w:val="20"/>
                <w:szCs w:val="20"/>
              </w:rPr>
            </w:pPr>
          </w:p>
        </w:tc>
      </w:tr>
      <w:tr w:rsidR="00925A0B" w:rsidRPr="004772F3" w:rsidTr="00895926">
        <w:tc>
          <w:tcPr>
            <w:tcW w:w="2660" w:type="dxa"/>
          </w:tcPr>
          <w:p w:rsidR="00925A0B" w:rsidRPr="004772F3" w:rsidRDefault="000E4A9B" w:rsidP="004772F3">
            <w:pPr>
              <w:suppressAutoHyphens w:val="0"/>
              <w:autoSpaceDN/>
              <w:spacing w:before="120" w:after="120"/>
              <w:contextualSpacing/>
              <w:jc w:val="both"/>
              <w:textAlignment w:val="auto"/>
              <w:rPr>
                <w:sz w:val="20"/>
                <w:szCs w:val="20"/>
              </w:rPr>
            </w:pPr>
            <w:r w:rsidRPr="004772F3">
              <w:rPr>
                <w:sz w:val="20"/>
                <w:szCs w:val="20"/>
              </w:rPr>
              <w:t>Analizar el lugar que ocupan las mujeres en los discursos de desarrollo propuestos por las empresas extractivistas y el estado.</w:t>
            </w:r>
          </w:p>
        </w:tc>
        <w:tc>
          <w:tcPr>
            <w:tcW w:w="2354" w:type="dxa"/>
          </w:tcPr>
          <w:p w:rsidR="00925A0B" w:rsidRPr="004772F3" w:rsidRDefault="00925A0B" w:rsidP="004772F3">
            <w:pPr>
              <w:widowControl w:val="0"/>
              <w:spacing w:before="120" w:after="120"/>
              <w:jc w:val="both"/>
              <w:rPr>
                <w:sz w:val="20"/>
                <w:szCs w:val="20"/>
              </w:rPr>
            </w:pPr>
            <w:r w:rsidRPr="004772F3">
              <w:rPr>
                <w:sz w:val="20"/>
                <w:szCs w:val="20"/>
              </w:rPr>
              <w:t>Análisis formal o discursivo</w:t>
            </w:r>
          </w:p>
          <w:p w:rsidR="00925A0B" w:rsidRPr="004772F3" w:rsidRDefault="00925A0B" w:rsidP="004772F3">
            <w:pPr>
              <w:widowControl w:val="0"/>
              <w:spacing w:before="120" w:after="120"/>
              <w:jc w:val="both"/>
              <w:rPr>
                <w:sz w:val="20"/>
                <w:szCs w:val="20"/>
              </w:rPr>
            </w:pPr>
          </w:p>
          <w:p w:rsidR="00925A0B" w:rsidRPr="004772F3" w:rsidRDefault="00925A0B" w:rsidP="004772F3">
            <w:pPr>
              <w:widowControl w:val="0"/>
              <w:spacing w:before="120" w:after="120"/>
              <w:jc w:val="both"/>
              <w:rPr>
                <w:sz w:val="20"/>
                <w:szCs w:val="20"/>
              </w:rPr>
            </w:pPr>
            <w:r w:rsidRPr="004772F3">
              <w:rPr>
                <w:sz w:val="20"/>
                <w:szCs w:val="20"/>
              </w:rPr>
              <w:t>Proceso de interpretación/reinterpretación</w:t>
            </w:r>
          </w:p>
          <w:p w:rsidR="00925A0B" w:rsidRPr="004772F3" w:rsidRDefault="00925A0B" w:rsidP="004772F3">
            <w:pPr>
              <w:spacing w:before="120" w:after="120"/>
              <w:jc w:val="both"/>
              <w:rPr>
                <w:sz w:val="20"/>
                <w:szCs w:val="20"/>
              </w:rPr>
            </w:pPr>
          </w:p>
        </w:tc>
        <w:tc>
          <w:tcPr>
            <w:tcW w:w="2531" w:type="dxa"/>
          </w:tcPr>
          <w:p w:rsidR="00925A0B" w:rsidRPr="004772F3" w:rsidRDefault="00925A0B" w:rsidP="004772F3">
            <w:pPr>
              <w:spacing w:before="120" w:after="120"/>
              <w:jc w:val="both"/>
              <w:rPr>
                <w:color w:val="000000"/>
                <w:sz w:val="20"/>
                <w:szCs w:val="20"/>
              </w:rPr>
            </w:pPr>
            <w:r w:rsidRPr="004772F3">
              <w:rPr>
                <w:color w:val="000000"/>
                <w:sz w:val="20"/>
                <w:szCs w:val="20"/>
              </w:rPr>
              <w:t>Representaciones Sociales</w:t>
            </w:r>
          </w:p>
          <w:p w:rsidR="00855D08" w:rsidRPr="004772F3" w:rsidRDefault="00855D08" w:rsidP="004772F3">
            <w:pPr>
              <w:spacing w:before="120" w:after="120"/>
              <w:jc w:val="both"/>
              <w:rPr>
                <w:color w:val="000000"/>
                <w:sz w:val="20"/>
                <w:szCs w:val="20"/>
              </w:rPr>
            </w:pPr>
            <w:r w:rsidRPr="004772F3">
              <w:rPr>
                <w:color w:val="000000"/>
                <w:sz w:val="20"/>
                <w:szCs w:val="20"/>
              </w:rPr>
              <w:t>Historización</w:t>
            </w:r>
          </w:p>
          <w:p w:rsidR="00855D08" w:rsidRPr="004772F3" w:rsidRDefault="00855D08" w:rsidP="004772F3">
            <w:pPr>
              <w:spacing w:before="120" w:after="120"/>
              <w:jc w:val="both"/>
              <w:rPr>
                <w:color w:val="000000"/>
                <w:sz w:val="20"/>
                <w:szCs w:val="20"/>
              </w:rPr>
            </w:pPr>
            <w:r w:rsidRPr="004772F3">
              <w:rPr>
                <w:color w:val="000000"/>
                <w:sz w:val="20"/>
                <w:szCs w:val="20"/>
              </w:rPr>
              <w:t>Interseccionalidad</w:t>
            </w:r>
          </w:p>
          <w:p w:rsidR="00855D08" w:rsidRPr="004772F3" w:rsidRDefault="00855D08" w:rsidP="004772F3">
            <w:pPr>
              <w:spacing w:before="120" w:after="120"/>
              <w:jc w:val="both"/>
              <w:rPr>
                <w:color w:val="000000"/>
                <w:sz w:val="20"/>
                <w:szCs w:val="20"/>
              </w:rPr>
            </w:pPr>
            <w:r w:rsidRPr="004772F3">
              <w:rPr>
                <w:color w:val="000000"/>
                <w:sz w:val="20"/>
                <w:szCs w:val="20"/>
              </w:rPr>
              <w:t>Patrimonialización</w:t>
            </w:r>
          </w:p>
          <w:p w:rsidR="00925A0B" w:rsidRPr="004772F3" w:rsidRDefault="00925A0B" w:rsidP="004772F3">
            <w:pPr>
              <w:spacing w:before="120" w:after="120"/>
              <w:jc w:val="both"/>
              <w:rPr>
                <w:color w:val="000000"/>
                <w:sz w:val="20"/>
                <w:szCs w:val="20"/>
              </w:rPr>
            </w:pPr>
            <w:r w:rsidRPr="004772F3">
              <w:rPr>
                <w:color w:val="000000"/>
                <w:sz w:val="20"/>
                <w:szCs w:val="20"/>
              </w:rPr>
              <w:t>Extractivismo</w:t>
            </w:r>
          </w:p>
        </w:tc>
        <w:tc>
          <w:tcPr>
            <w:tcW w:w="3336"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Observación participante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Revisión de fuentes secundarias.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Historia de vida</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Reconstrucción colectiva de la memoria.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Cartografía social</w:t>
            </w:r>
          </w:p>
        </w:tc>
        <w:tc>
          <w:tcPr>
            <w:tcW w:w="3260"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Matriz de clasificación de archivos</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de observación, Diario de campo</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grupo de discusión</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Mapas y categorías para la construcción de cartografía</w:t>
            </w:r>
          </w:p>
        </w:tc>
      </w:tr>
      <w:tr w:rsidR="00925A0B" w:rsidRPr="004772F3" w:rsidTr="00895926">
        <w:tc>
          <w:tcPr>
            <w:tcW w:w="2660" w:type="dxa"/>
          </w:tcPr>
          <w:p w:rsidR="00925A0B" w:rsidRPr="004772F3" w:rsidRDefault="000E4A9B" w:rsidP="004772F3">
            <w:pPr>
              <w:suppressAutoHyphens w:val="0"/>
              <w:autoSpaceDN/>
              <w:spacing w:before="120" w:after="120"/>
              <w:contextualSpacing/>
              <w:jc w:val="both"/>
              <w:textAlignment w:val="auto"/>
              <w:rPr>
                <w:sz w:val="20"/>
                <w:szCs w:val="20"/>
              </w:rPr>
            </w:pPr>
            <w:r w:rsidRPr="004772F3">
              <w:rPr>
                <w:sz w:val="20"/>
                <w:szCs w:val="20"/>
              </w:rPr>
              <w:t>Analizar cómo las mujeres se relacionan con las represent</w:t>
            </w:r>
            <w:r w:rsidRPr="004772F3">
              <w:rPr>
                <w:sz w:val="20"/>
                <w:szCs w:val="20"/>
              </w:rPr>
              <w:t>a</w:t>
            </w:r>
            <w:r w:rsidRPr="004772F3">
              <w:rPr>
                <w:sz w:val="20"/>
                <w:szCs w:val="20"/>
              </w:rPr>
              <w:t>ciones que sobre ellas  conf</w:t>
            </w:r>
            <w:r w:rsidRPr="004772F3">
              <w:rPr>
                <w:sz w:val="20"/>
                <w:szCs w:val="20"/>
              </w:rPr>
              <w:t>i</w:t>
            </w:r>
            <w:r w:rsidRPr="004772F3">
              <w:rPr>
                <w:sz w:val="20"/>
                <w:szCs w:val="20"/>
              </w:rPr>
              <w:t>guran, entes estatales y com</w:t>
            </w:r>
            <w:r w:rsidRPr="004772F3">
              <w:rPr>
                <w:sz w:val="20"/>
                <w:szCs w:val="20"/>
              </w:rPr>
              <w:t>u</w:t>
            </w:r>
            <w:r w:rsidRPr="004772F3">
              <w:rPr>
                <w:sz w:val="20"/>
                <w:szCs w:val="20"/>
              </w:rPr>
              <w:t>nitarios.</w:t>
            </w:r>
          </w:p>
        </w:tc>
        <w:tc>
          <w:tcPr>
            <w:tcW w:w="2354" w:type="dxa"/>
          </w:tcPr>
          <w:p w:rsidR="00925A0B" w:rsidRPr="004772F3" w:rsidRDefault="00925A0B" w:rsidP="004772F3">
            <w:pPr>
              <w:widowControl w:val="0"/>
              <w:spacing w:before="120" w:after="120"/>
              <w:jc w:val="both"/>
              <w:rPr>
                <w:color w:val="000000"/>
                <w:sz w:val="20"/>
                <w:szCs w:val="20"/>
              </w:rPr>
            </w:pPr>
            <w:r w:rsidRPr="004772F3">
              <w:rPr>
                <w:sz w:val="20"/>
                <w:szCs w:val="20"/>
              </w:rPr>
              <w:t>Proceso de interpretación/reinterpretación</w:t>
            </w:r>
          </w:p>
        </w:tc>
        <w:tc>
          <w:tcPr>
            <w:tcW w:w="2531" w:type="dxa"/>
          </w:tcPr>
          <w:p w:rsidR="00855D08" w:rsidRPr="004772F3" w:rsidRDefault="00925A0B" w:rsidP="004772F3">
            <w:pPr>
              <w:spacing w:before="120" w:after="120"/>
              <w:jc w:val="both"/>
              <w:rPr>
                <w:color w:val="000000"/>
                <w:sz w:val="20"/>
                <w:szCs w:val="20"/>
              </w:rPr>
            </w:pPr>
            <w:r w:rsidRPr="004772F3">
              <w:rPr>
                <w:color w:val="000000"/>
                <w:sz w:val="20"/>
                <w:szCs w:val="20"/>
              </w:rPr>
              <w:t>Representaciones Sociales</w:t>
            </w:r>
          </w:p>
          <w:p w:rsidR="00855D08" w:rsidRPr="004772F3" w:rsidRDefault="00855D08" w:rsidP="004772F3">
            <w:pPr>
              <w:spacing w:before="120" w:after="120"/>
              <w:jc w:val="both"/>
              <w:rPr>
                <w:color w:val="000000"/>
                <w:sz w:val="20"/>
                <w:szCs w:val="20"/>
              </w:rPr>
            </w:pPr>
            <w:r w:rsidRPr="004772F3">
              <w:rPr>
                <w:color w:val="000000"/>
                <w:sz w:val="20"/>
                <w:szCs w:val="20"/>
              </w:rPr>
              <w:t>Historización</w:t>
            </w:r>
          </w:p>
          <w:p w:rsidR="00855D08" w:rsidRPr="004772F3" w:rsidRDefault="00855D08" w:rsidP="004772F3">
            <w:pPr>
              <w:spacing w:before="120" w:after="120"/>
              <w:jc w:val="both"/>
              <w:rPr>
                <w:color w:val="000000"/>
                <w:sz w:val="20"/>
                <w:szCs w:val="20"/>
              </w:rPr>
            </w:pPr>
            <w:r w:rsidRPr="004772F3">
              <w:rPr>
                <w:color w:val="000000"/>
                <w:sz w:val="20"/>
                <w:szCs w:val="20"/>
              </w:rPr>
              <w:t>Interseccionalidad</w:t>
            </w:r>
          </w:p>
          <w:p w:rsidR="00925A0B" w:rsidRPr="004772F3" w:rsidRDefault="00855D08" w:rsidP="004772F3">
            <w:pPr>
              <w:spacing w:before="120" w:after="120"/>
              <w:jc w:val="both"/>
              <w:rPr>
                <w:color w:val="000000"/>
                <w:sz w:val="20"/>
                <w:szCs w:val="20"/>
              </w:rPr>
            </w:pPr>
            <w:r w:rsidRPr="004772F3">
              <w:rPr>
                <w:color w:val="000000"/>
                <w:sz w:val="20"/>
                <w:szCs w:val="20"/>
              </w:rPr>
              <w:t>Patrimonialización</w:t>
            </w:r>
          </w:p>
        </w:tc>
        <w:tc>
          <w:tcPr>
            <w:tcW w:w="3336"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Observación participante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Revisión de fuentes secundarias.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 xml:space="preserve">Reconstrucción colectiva de la memoria.               </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Historia de vida</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Entrevista semi-estructurada</w:t>
            </w:r>
          </w:p>
        </w:tc>
        <w:tc>
          <w:tcPr>
            <w:tcW w:w="3260" w:type="dxa"/>
          </w:tcPr>
          <w:p w:rsidR="00925A0B" w:rsidRPr="004772F3" w:rsidRDefault="00925A0B" w:rsidP="004772F3">
            <w:pPr>
              <w:widowControl w:val="0"/>
              <w:spacing w:before="120" w:after="120"/>
              <w:jc w:val="both"/>
              <w:rPr>
                <w:color w:val="000000"/>
                <w:sz w:val="20"/>
                <w:szCs w:val="20"/>
              </w:rPr>
            </w:pPr>
            <w:r w:rsidRPr="004772F3">
              <w:rPr>
                <w:color w:val="000000"/>
                <w:sz w:val="20"/>
                <w:szCs w:val="20"/>
              </w:rPr>
              <w:t>Guía para la RC</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de observación, Diario de campo</w:t>
            </w:r>
          </w:p>
          <w:p w:rsidR="00925A0B" w:rsidRPr="004772F3" w:rsidRDefault="00925A0B" w:rsidP="004772F3">
            <w:pPr>
              <w:widowControl w:val="0"/>
              <w:spacing w:before="120" w:after="120"/>
              <w:jc w:val="both"/>
              <w:rPr>
                <w:color w:val="000000"/>
                <w:sz w:val="20"/>
                <w:szCs w:val="20"/>
              </w:rPr>
            </w:pPr>
            <w:r w:rsidRPr="004772F3">
              <w:rPr>
                <w:color w:val="000000"/>
                <w:sz w:val="20"/>
                <w:szCs w:val="20"/>
              </w:rPr>
              <w:t>Guía de entrevista semi-estructurada</w:t>
            </w:r>
          </w:p>
        </w:tc>
      </w:tr>
    </w:tbl>
    <w:p w:rsidR="00925A0B" w:rsidRPr="005A1C60" w:rsidRDefault="00925A0B" w:rsidP="005A1C60">
      <w:pPr>
        <w:widowControl w:val="0"/>
        <w:spacing w:before="120" w:after="120" w:line="360" w:lineRule="auto"/>
        <w:ind w:left="360"/>
        <w:rPr>
          <w:color w:val="000000"/>
          <w:lang w:val="es-CO"/>
        </w:rPr>
        <w:sectPr w:rsidR="00925A0B" w:rsidRPr="005A1C60" w:rsidSect="00AF5A62">
          <w:pgSz w:w="16838" w:h="11906" w:orient="landscape"/>
          <w:pgMar w:top="1701" w:right="1418" w:bottom="1701" w:left="1418" w:header="709" w:footer="709" w:gutter="0"/>
          <w:cols w:space="708"/>
          <w:docGrid w:linePitch="360"/>
        </w:sectPr>
      </w:pPr>
    </w:p>
    <w:p w:rsidR="00925A0B" w:rsidRPr="005A1C60" w:rsidRDefault="00925A0B" w:rsidP="005A1C60">
      <w:pPr>
        <w:spacing w:before="120" w:after="120" w:line="360" w:lineRule="auto"/>
        <w:jc w:val="both"/>
      </w:pPr>
    </w:p>
    <w:p w:rsidR="000C2F2A" w:rsidRPr="005A1C60" w:rsidRDefault="000C2F2A" w:rsidP="005A1C60">
      <w:pPr>
        <w:numPr>
          <w:ilvl w:val="0"/>
          <w:numId w:val="23"/>
        </w:numPr>
        <w:spacing w:before="120" w:after="120" w:line="360" w:lineRule="auto"/>
        <w:jc w:val="both"/>
        <w:rPr>
          <w:b/>
        </w:rPr>
      </w:pPr>
      <w:r w:rsidRPr="005A1C60">
        <w:rPr>
          <w:b/>
        </w:rPr>
        <w:t>Contribución del proyecto a las líneas de investigación</w:t>
      </w:r>
      <w:r w:rsidR="00600BDC" w:rsidRPr="005A1C60">
        <w:rPr>
          <w:b/>
        </w:rPr>
        <w:t xml:space="preserve"> del grupo</w:t>
      </w:r>
    </w:p>
    <w:p w:rsidR="005C5D4C" w:rsidRPr="005C5D4C" w:rsidRDefault="005C5D4C" w:rsidP="005C5D4C">
      <w:pPr>
        <w:shd w:val="clear" w:color="auto" w:fill="FFFFFF"/>
        <w:suppressAutoHyphens w:val="0"/>
        <w:autoSpaceDN/>
        <w:spacing w:line="276" w:lineRule="auto"/>
        <w:textAlignment w:val="auto"/>
        <w:rPr>
          <w:color w:val="222222"/>
          <w:lang w:val="es-CO" w:eastAsia="es-CO"/>
        </w:rPr>
      </w:pPr>
      <w:r w:rsidRPr="005C5D4C">
        <w:rPr>
          <w:color w:val="222222"/>
          <w:lang w:val="es-CO" w:eastAsia="es-CO"/>
        </w:rPr>
        <w:t>El aporte a la linea "subjetividades, acción colectiva y transformaciones sociales" radica en  complejizar las relaciones entre la construcción de representaciones sobre las mujeres y su proceso de subjetivación, y  como estos procesos posibilitan trasformaciones en sus conte</w:t>
      </w:r>
      <w:r w:rsidRPr="005C5D4C">
        <w:rPr>
          <w:color w:val="222222"/>
          <w:lang w:val="es-CO" w:eastAsia="es-CO"/>
        </w:rPr>
        <w:t>x</w:t>
      </w:r>
      <w:r w:rsidRPr="005C5D4C">
        <w:rPr>
          <w:color w:val="222222"/>
          <w:lang w:val="es-CO" w:eastAsia="es-CO"/>
        </w:rPr>
        <w:t>tos culturales. </w:t>
      </w:r>
    </w:p>
    <w:p w:rsidR="00D74888" w:rsidRDefault="00C258A2" w:rsidP="005A1C60">
      <w:pPr>
        <w:numPr>
          <w:ilvl w:val="0"/>
          <w:numId w:val="23"/>
        </w:numPr>
        <w:spacing w:before="120" w:after="120" w:line="360" w:lineRule="auto"/>
        <w:jc w:val="both"/>
        <w:rPr>
          <w:b/>
        </w:rPr>
      </w:pPr>
      <w:r w:rsidRPr="005A1C60">
        <w:rPr>
          <w:b/>
        </w:rPr>
        <w:t xml:space="preserve">Resultados e impactos esperados </w:t>
      </w:r>
    </w:p>
    <w:tbl>
      <w:tblPr>
        <w:tblW w:w="8931" w:type="dxa"/>
        <w:tblInd w:w="70" w:type="dxa"/>
        <w:tblLayout w:type="fixed"/>
        <w:tblCellMar>
          <w:left w:w="70" w:type="dxa"/>
          <w:right w:w="70" w:type="dxa"/>
        </w:tblCellMar>
        <w:tblLook w:val="0000"/>
      </w:tblPr>
      <w:tblGrid>
        <w:gridCol w:w="3119"/>
        <w:gridCol w:w="2410"/>
        <w:gridCol w:w="3402"/>
      </w:tblGrid>
      <w:tr w:rsidR="00B32F1D" w:rsidRPr="00B32F1D" w:rsidTr="00B32F1D">
        <w:tc>
          <w:tcPr>
            <w:tcW w:w="3119" w:type="dxa"/>
            <w:tcBorders>
              <w:top w:val="single" w:sz="6" w:space="0" w:color="auto"/>
              <w:left w:val="single" w:sz="6" w:space="0" w:color="auto"/>
              <w:bottom w:val="single" w:sz="6" w:space="0" w:color="auto"/>
              <w:right w:val="single" w:sz="6" w:space="0" w:color="auto"/>
            </w:tcBorders>
            <w:vAlign w:val="center"/>
          </w:tcPr>
          <w:p w:rsidR="00B32F1D" w:rsidRPr="00B32F1D" w:rsidRDefault="00B32F1D" w:rsidP="008C60BC">
            <w:pPr>
              <w:widowControl w:val="0"/>
              <w:jc w:val="center"/>
              <w:rPr>
                <w:b/>
                <w:color w:val="000000"/>
                <w:lang w:val="es-CO"/>
              </w:rPr>
            </w:pPr>
            <w:r w:rsidRPr="00B32F1D">
              <w:rPr>
                <w:b/>
                <w:color w:val="000000"/>
                <w:lang w:val="es-CO"/>
              </w:rPr>
              <w:t>Impacto esperado</w:t>
            </w:r>
          </w:p>
        </w:tc>
        <w:tc>
          <w:tcPr>
            <w:tcW w:w="2410" w:type="dxa"/>
            <w:tcBorders>
              <w:top w:val="single" w:sz="6" w:space="0" w:color="auto"/>
              <w:left w:val="single" w:sz="6" w:space="0" w:color="auto"/>
              <w:bottom w:val="single" w:sz="6" w:space="0" w:color="auto"/>
              <w:right w:val="single" w:sz="6" w:space="0" w:color="auto"/>
            </w:tcBorders>
            <w:vAlign w:val="center"/>
          </w:tcPr>
          <w:p w:rsidR="00B32F1D" w:rsidRPr="00B32F1D" w:rsidRDefault="00B32F1D" w:rsidP="00B32F1D">
            <w:pPr>
              <w:widowControl w:val="0"/>
              <w:jc w:val="center"/>
              <w:rPr>
                <w:b/>
                <w:color w:val="000000"/>
                <w:lang w:val="es-CO"/>
              </w:rPr>
            </w:pPr>
            <w:r w:rsidRPr="00B32F1D">
              <w:rPr>
                <w:b/>
                <w:color w:val="000000"/>
                <w:lang w:val="es-CO"/>
              </w:rPr>
              <w:t>Plazo después de finalizado el proyecto</w:t>
            </w:r>
          </w:p>
        </w:tc>
        <w:tc>
          <w:tcPr>
            <w:tcW w:w="3402" w:type="dxa"/>
            <w:tcBorders>
              <w:top w:val="single" w:sz="6" w:space="0" w:color="auto"/>
              <w:left w:val="single" w:sz="6" w:space="0" w:color="auto"/>
              <w:bottom w:val="single" w:sz="6" w:space="0" w:color="auto"/>
              <w:right w:val="single" w:sz="6" w:space="0" w:color="auto"/>
            </w:tcBorders>
            <w:vAlign w:val="center"/>
          </w:tcPr>
          <w:p w:rsidR="00B32F1D" w:rsidRPr="00B32F1D" w:rsidRDefault="00B32F1D" w:rsidP="008C60BC">
            <w:pPr>
              <w:widowControl w:val="0"/>
              <w:jc w:val="center"/>
              <w:rPr>
                <w:b/>
                <w:color w:val="000000"/>
                <w:lang w:val="es-CO"/>
              </w:rPr>
            </w:pPr>
            <w:r w:rsidRPr="00B32F1D">
              <w:rPr>
                <w:b/>
                <w:color w:val="000000"/>
                <w:lang w:val="es-CO"/>
              </w:rPr>
              <w:t>Supuestos</w:t>
            </w:r>
          </w:p>
        </w:tc>
      </w:tr>
      <w:tr w:rsidR="00B32F1D" w:rsidRPr="00B32F1D" w:rsidTr="00B32F1D">
        <w:tc>
          <w:tcPr>
            <w:tcW w:w="3119" w:type="dxa"/>
            <w:tcBorders>
              <w:top w:val="single" w:sz="6" w:space="0" w:color="auto"/>
              <w:left w:val="single" w:sz="6" w:space="0" w:color="auto"/>
              <w:bottom w:val="single" w:sz="6" w:space="0" w:color="auto"/>
              <w:right w:val="single" w:sz="6" w:space="0" w:color="auto"/>
            </w:tcBorders>
          </w:tcPr>
          <w:p w:rsidR="00B32F1D" w:rsidRPr="00B32F1D" w:rsidRDefault="00B32F1D" w:rsidP="00B32F1D">
            <w:pPr>
              <w:widowControl w:val="0"/>
              <w:jc w:val="both"/>
              <w:rPr>
                <w:color w:val="000000"/>
                <w:lang w:val="es-CO"/>
              </w:rPr>
            </w:pPr>
            <w:r w:rsidRPr="00B32F1D">
              <w:rPr>
                <w:color w:val="000000"/>
                <w:lang w:val="es-CO"/>
              </w:rPr>
              <w:t>Generación de conocimiento útil para la comprensión de las representaciones sociales que subyacen en las  problemáticas de las mujeres wayúu.</w:t>
            </w:r>
          </w:p>
        </w:tc>
        <w:tc>
          <w:tcPr>
            <w:tcW w:w="2410" w:type="dxa"/>
            <w:tcBorders>
              <w:top w:val="single" w:sz="6" w:space="0" w:color="auto"/>
              <w:left w:val="single" w:sz="6" w:space="0" w:color="auto"/>
              <w:bottom w:val="single" w:sz="6" w:space="0" w:color="auto"/>
              <w:right w:val="single" w:sz="6" w:space="0" w:color="auto"/>
            </w:tcBorders>
          </w:tcPr>
          <w:p w:rsidR="00B32F1D" w:rsidRPr="00B32F1D" w:rsidRDefault="00B32F1D" w:rsidP="008C60BC">
            <w:pPr>
              <w:widowControl w:val="0"/>
              <w:jc w:val="center"/>
              <w:rPr>
                <w:color w:val="000000"/>
                <w:lang w:val="es-CO"/>
              </w:rPr>
            </w:pPr>
            <w:r w:rsidRPr="00B32F1D">
              <w:rPr>
                <w:color w:val="000000"/>
                <w:lang w:val="es-CO"/>
              </w:rPr>
              <w:t>Mediano plazo</w:t>
            </w:r>
          </w:p>
        </w:tc>
        <w:tc>
          <w:tcPr>
            <w:tcW w:w="3402" w:type="dxa"/>
            <w:tcBorders>
              <w:top w:val="single" w:sz="6" w:space="0" w:color="auto"/>
              <w:left w:val="single" w:sz="6" w:space="0" w:color="auto"/>
              <w:bottom w:val="single" w:sz="6" w:space="0" w:color="auto"/>
              <w:right w:val="single" w:sz="6" w:space="0" w:color="auto"/>
            </w:tcBorders>
          </w:tcPr>
          <w:p w:rsidR="00B32F1D" w:rsidRPr="00B32F1D" w:rsidRDefault="00B32F1D" w:rsidP="008C60BC">
            <w:pPr>
              <w:widowControl w:val="0"/>
              <w:jc w:val="both"/>
              <w:rPr>
                <w:color w:val="000000"/>
                <w:lang w:val="es-CO"/>
              </w:rPr>
            </w:pPr>
            <w:r w:rsidRPr="00B32F1D">
              <w:rPr>
                <w:color w:val="000000"/>
                <w:lang w:val="es-CO"/>
              </w:rPr>
              <w:t>Los resultados son socializados y discutidos con las mujeres participantes en el proceso.</w:t>
            </w:r>
          </w:p>
        </w:tc>
      </w:tr>
      <w:tr w:rsidR="00B32F1D" w:rsidRPr="00B32F1D" w:rsidTr="00B32F1D">
        <w:tc>
          <w:tcPr>
            <w:tcW w:w="3119" w:type="dxa"/>
            <w:tcBorders>
              <w:top w:val="single" w:sz="6" w:space="0" w:color="auto"/>
              <w:left w:val="single" w:sz="6" w:space="0" w:color="auto"/>
              <w:bottom w:val="single" w:sz="6" w:space="0" w:color="auto"/>
              <w:right w:val="single" w:sz="6" w:space="0" w:color="auto"/>
            </w:tcBorders>
          </w:tcPr>
          <w:p w:rsidR="00B32F1D" w:rsidRPr="00B32F1D" w:rsidRDefault="00B32F1D" w:rsidP="008C60BC">
            <w:pPr>
              <w:widowControl w:val="0"/>
              <w:jc w:val="both"/>
              <w:rPr>
                <w:color w:val="FF0000"/>
                <w:lang w:val="es-CO"/>
              </w:rPr>
            </w:pPr>
            <w:r w:rsidRPr="00B32F1D">
              <w:rPr>
                <w:color w:val="000000"/>
                <w:lang w:val="es-CO"/>
              </w:rPr>
              <w:t>Procesos como la Recuperación Colectiva de la Memoria, constituirá un insumo</w:t>
            </w:r>
            <w:r w:rsidRPr="00B32F1D">
              <w:rPr>
                <w:lang w:val="es-CO"/>
              </w:rPr>
              <w:t>para que las mujeres construyan propuestas para la garantía de derechos laborales y en torno al cuidado de la salud</w:t>
            </w:r>
          </w:p>
        </w:tc>
        <w:tc>
          <w:tcPr>
            <w:tcW w:w="2410" w:type="dxa"/>
            <w:tcBorders>
              <w:top w:val="single" w:sz="6" w:space="0" w:color="auto"/>
              <w:left w:val="single" w:sz="6" w:space="0" w:color="auto"/>
              <w:bottom w:val="single" w:sz="6" w:space="0" w:color="auto"/>
              <w:right w:val="single" w:sz="6" w:space="0" w:color="auto"/>
            </w:tcBorders>
          </w:tcPr>
          <w:p w:rsidR="00B32F1D" w:rsidRPr="00B32F1D" w:rsidRDefault="00B32F1D" w:rsidP="008C60BC">
            <w:pPr>
              <w:widowControl w:val="0"/>
              <w:jc w:val="center"/>
              <w:rPr>
                <w:color w:val="000000"/>
                <w:lang w:val="es-CO"/>
              </w:rPr>
            </w:pPr>
            <w:r w:rsidRPr="00B32F1D">
              <w:rPr>
                <w:color w:val="000000"/>
                <w:lang w:val="es-CO"/>
              </w:rPr>
              <w:t>Largo plazo</w:t>
            </w:r>
          </w:p>
        </w:tc>
        <w:tc>
          <w:tcPr>
            <w:tcW w:w="3402" w:type="dxa"/>
            <w:tcBorders>
              <w:top w:val="single" w:sz="6" w:space="0" w:color="auto"/>
              <w:left w:val="single" w:sz="6" w:space="0" w:color="auto"/>
              <w:bottom w:val="single" w:sz="6" w:space="0" w:color="auto"/>
              <w:right w:val="single" w:sz="6" w:space="0" w:color="auto"/>
            </w:tcBorders>
          </w:tcPr>
          <w:p w:rsidR="00B32F1D" w:rsidRPr="00B32F1D" w:rsidRDefault="005C5D4C" w:rsidP="005C5D4C">
            <w:pPr>
              <w:widowControl w:val="0"/>
              <w:jc w:val="both"/>
              <w:rPr>
                <w:color w:val="000000"/>
                <w:lang w:val="es-CO"/>
              </w:rPr>
            </w:pPr>
            <w:r>
              <w:rPr>
                <w:color w:val="000000"/>
                <w:lang w:val="es-CO"/>
              </w:rPr>
              <w:t xml:space="preserve">Las mujeres </w:t>
            </w:r>
            <w:r w:rsidR="00B32F1D" w:rsidRPr="00B32F1D">
              <w:rPr>
                <w:color w:val="000000"/>
                <w:lang w:val="es-CO"/>
              </w:rPr>
              <w:t>lideran propuestas entorno a la mitigación de los impactos presentados con la presencia de la industria extractivista.</w:t>
            </w:r>
          </w:p>
        </w:tc>
      </w:tr>
    </w:tbl>
    <w:p w:rsidR="004772F3" w:rsidRPr="005A1C60" w:rsidRDefault="004772F3" w:rsidP="004772F3">
      <w:pPr>
        <w:spacing w:before="120" w:after="120" w:line="360" w:lineRule="auto"/>
        <w:ind w:left="360"/>
        <w:jc w:val="both"/>
        <w:rPr>
          <w:b/>
        </w:rPr>
      </w:pPr>
    </w:p>
    <w:p w:rsidR="005C5D4C" w:rsidRPr="00766987" w:rsidRDefault="00C258A2" w:rsidP="005C5D4C">
      <w:pPr>
        <w:numPr>
          <w:ilvl w:val="0"/>
          <w:numId w:val="23"/>
        </w:numPr>
        <w:spacing w:before="120" w:after="120" w:line="360" w:lineRule="auto"/>
        <w:jc w:val="both"/>
      </w:pPr>
      <w:r w:rsidRPr="005A1C60">
        <w:rPr>
          <w:b/>
          <w:lang w:val="es-CO"/>
        </w:rPr>
        <w:t xml:space="preserve">Productos </w:t>
      </w:r>
      <w:r w:rsidR="007C4D88" w:rsidRPr="005A1C60">
        <w:rPr>
          <w:b/>
          <w:lang w:val="es-CO"/>
        </w:rPr>
        <w:t>esperados</w:t>
      </w:r>
      <w:r w:rsidR="00BA6E37" w:rsidRPr="005A1C60">
        <w:rPr>
          <w:b/>
          <w:lang w:val="es-CO"/>
        </w:rPr>
        <w:t xml:space="preserve"> (según asignación presupuestal) </w:t>
      </w:r>
      <w:r w:rsidR="00B16EB8" w:rsidRPr="005A1C60">
        <w:rPr>
          <w:b/>
          <w:lang w:val="es-CO"/>
        </w:rPr>
        <w:t>y plan de generación de productos</w:t>
      </w:r>
      <w:r w:rsidR="00BA6E37" w:rsidRPr="005A1C60">
        <w:rPr>
          <w:b/>
          <w:lang w:val="es-CO"/>
        </w:rPr>
        <w:t>:</w:t>
      </w:r>
    </w:p>
    <w:p w:rsidR="00766987" w:rsidRDefault="00766987" w:rsidP="00766987">
      <w:pPr>
        <w:pStyle w:val="Prrafodelista"/>
        <w:numPr>
          <w:ilvl w:val="0"/>
          <w:numId w:val="32"/>
        </w:numPr>
        <w:spacing w:before="120" w:after="120" w:line="360" w:lineRule="auto"/>
        <w:jc w:val="both"/>
      </w:pPr>
      <w:r>
        <w:t>Artículo científico publicable en revista indexada. Al finalizar el proceso de investigación (9 meses) el artículo debe quedar en revisión de pares, para ser ajustado y entregado a una revista científica. Se espera que luego de procesos internos propios de las revistas sea aceptado para publicación en el 2016.</w:t>
      </w:r>
    </w:p>
    <w:p w:rsidR="00766987" w:rsidRPr="00B32F1D" w:rsidRDefault="00766987" w:rsidP="00766987">
      <w:pPr>
        <w:pStyle w:val="Prrafodelista"/>
        <w:numPr>
          <w:ilvl w:val="0"/>
          <w:numId w:val="32"/>
        </w:numPr>
        <w:spacing w:before="120" w:after="120" w:line="360" w:lineRule="auto"/>
        <w:jc w:val="both"/>
      </w:pPr>
      <w:r>
        <w:t>Una ponencia como resultado de investigación en evento internacional. Se espera presentar el resumen de la ponencia en el segundo semestre del 2014 para un evento cuya fecha sea entre 2014II – 2015I.</w:t>
      </w:r>
    </w:p>
    <w:p w:rsidR="00B32F1D" w:rsidRPr="00766987" w:rsidRDefault="00B32F1D" w:rsidP="00766987">
      <w:pPr>
        <w:rPr>
          <w:lang w:val="es-CO"/>
        </w:rPr>
      </w:pPr>
    </w:p>
    <w:p w:rsidR="00D9417F" w:rsidRDefault="00D9417F" w:rsidP="00D9417F">
      <w:pPr>
        <w:spacing w:before="120" w:after="120" w:line="360" w:lineRule="auto"/>
        <w:ind w:left="360"/>
        <w:jc w:val="both"/>
        <w:rPr>
          <w:b/>
        </w:rPr>
        <w:sectPr w:rsidR="00D9417F" w:rsidSect="003C2264">
          <w:headerReference w:type="default" r:id="rId9"/>
          <w:footerReference w:type="default" r:id="rId10"/>
          <w:pgSz w:w="12242" w:h="15842"/>
          <w:pgMar w:top="1701" w:right="1701" w:bottom="1701" w:left="1701" w:header="720" w:footer="720" w:gutter="0"/>
          <w:cols w:space="720"/>
          <w:docGrid w:linePitch="326"/>
        </w:sectPr>
      </w:pPr>
    </w:p>
    <w:p w:rsidR="00D9417F" w:rsidRDefault="00D9417F" w:rsidP="00D9417F">
      <w:pPr>
        <w:numPr>
          <w:ilvl w:val="0"/>
          <w:numId w:val="23"/>
        </w:numPr>
        <w:spacing w:before="120" w:after="120" w:line="360" w:lineRule="auto"/>
        <w:jc w:val="both"/>
        <w:rPr>
          <w:b/>
        </w:rPr>
      </w:pPr>
      <w:r w:rsidRPr="005C5D4C">
        <w:rPr>
          <w:b/>
        </w:rPr>
        <w:lastRenderedPageBreak/>
        <w:t>Cronograma</w:t>
      </w:r>
    </w:p>
    <w:p w:rsidR="00D9417F" w:rsidRDefault="00D9417F" w:rsidP="00D9417F">
      <w:pPr>
        <w:spacing w:before="120" w:after="120" w:line="360" w:lineRule="auto"/>
        <w:ind w:left="360"/>
        <w:jc w:val="both"/>
        <w:rPr>
          <w:b/>
        </w:rPr>
        <w:sectPr w:rsidR="00D9417F" w:rsidSect="00D9417F">
          <w:pgSz w:w="15842" w:h="12242" w:orient="landscape"/>
          <w:pgMar w:top="1701" w:right="1701" w:bottom="1701" w:left="1701" w:header="720" w:footer="720" w:gutter="0"/>
          <w:cols w:space="720"/>
          <w:docGrid w:linePitch="326"/>
        </w:sectPr>
      </w:pPr>
      <w:r w:rsidRPr="00D9417F">
        <w:rPr>
          <w:b/>
          <w:noProof/>
        </w:rPr>
        <w:drawing>
          <wp:inline distT="0" distB="0" distL="0" distR="0">
            <wp:extent cx="8027134" cy="4933950"/>
            <wp:effectExtent l="19050" t="0" r="0" b="0"/>
            <wp:docPr id="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8027913" cy="4934429"/>
                    </a:xfrm>
                    <a:prstGeom prst="rect">
                      <a:avLst/>
                    </a:prstGeom>
                    <a:noFill/>
                    <a:ln>
                      <a:noFill/>
                    </a:ln>
                  </pic:spPr>
                </pic:pic>
              </a:graphicData>
            </a:graphic>
          </wp:inline>
        </w:drawing>
      </w:r>
    </w:p>
    <w:p w:rsidR="007C4D88" w:rsidRDefault="007C4D88" w:rsidP="005A1C60">
      <w:pPr>
        <w:numPr>
          <w:ilvl w:val="0"/>
          <w:numId w:val="23"/>
        </w:numPr>
        <w:spacing w:before="120" w:after="120" w:line="360" w:lineRule="auto"/>
        <w:jc w:val="both"/>
        <w:rPr>
          <w:b/>
        </w:rPr>
      </w:pPr>
      <w:r w:rsidRPr="005C5D4C">
        <w:rPr>
          <w:b/>
        </w:rPr>
        <w:lastRenderedPageBreak/>
        <w:t>Presupuesto</w:t>
      </w:r>
    </w:p>
    <w:tbl>
      <w:tblPr>
        <w:tblW w:w="8717" w:type="dxa"/>
        <w:tblLayout w:type="fixed"/>
        <w:tblCellMar>
          <w:left w:w="70" w:type="dxa"/>
          <w:right w:w="70" w:type="dxa"/>
        </w:tblCellMar>
        <w:tblLook w:val="0000"/>
      </w:tblPr>
      <w:tblGrid>
        <w:gridCol w:w="2197"/>
        <w:gridCol w:w="1559"/>
        <w:gridCol w:w="1701"/>
        <w:gridCol w:w="1559"/>
        <w:gridCol w:w="1701"/>
      </w:tblGrid>
      <w:tr w:rsidR="00D9417F" w:rsidRPr="007C7917" w:rsidTr="008C60BC">
        <w:trPr>
          <w:tblHeader/>
        </w:trPr>
        <w:tc>
          <w:tcPr>
            <w:tcW w:w="2197"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center"/>
              <w:rPr>
                <w:rFonts w:asciiTheme="majorHAnsi" w:hAnsiTheme="majorHAnsi"/>
                <w:b/>
                <w:color w:val="FFFFFF" w:themeColor="background1"/>
                <w:sz w:val="16"/>
                <w:szCs w:val="20"/>
                <w:lang w:val="es-CO"/>
              </w:rPr>
            </w:pPr>
            <w:r w:rsidRPr="007C7917">
              <w:rPr>
                <w:rFonts w:asciiTheme="majorHAnsi" w:hAnsiTheme="majorHAnsi"/>
                <w:b/>
                <w:color w:val="FFFFFF" w:themeColor="background1"/>
                <w:sz w:val="16"/>
                <w:szCs w:val="20"/>
                <w:lang w:val="es-CO"/>
              </w:rPr>
              <w:t>RUBROS FINANCIABLES</w:t>
            </w:r>
          </w:p>
        </w:tc>
        <w:tc>
          <w:tcPr>
            <w:tcW w:w="4819" w:type="dxa"/>
            <w:gridSpan w:val="3"/>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center"/>
              <w:rPr>
                <w:rFonts w:asciiTheme="majorHAnsi" w:hAnsiTheme="majorHAnsi"/>
                <w:b/>
                <w:color w:val="FFFFFF" w:themeColor="background1"/>
                <w:sz w:val="16"/>
                <w:szCs w:val="20"/>
                <w:lang w:val="es-CO"/>
              </w:rPr>
            </w:pPr>
            <w:r w:rsidRPr="007C7917">
              <w:rPr>
                <w:rFonts w:asciiTheme="majorHAnsi" w:hAnsiTheme="majorHAnsi"/>
                <w:b/>
                <w:color w:val="FFFFFF" w:themeColor="background1"/>
                <w:sz w:val="16"/>
                <w:szCs w:val="20"/>
                <w:lang w:val="es-ES_tradnl"/>
              </w:rPr>
              <w:t>FUENTES</w:t>
            </w:r>
          </w:p>
        </w:tc>
        <w:tc>
          <w:tcPr>
            <w:tcW w:w="1701" w:type="dxa"/>
            <w:vMerge w:val="restart"/>
            <w:tcBorders>
              <w:top w:val="single" w:sz="6" w:space="0" w:color="auto"/>
              <w:left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center"/>
              <w:rPr>
                <w:rFonts w:asciiTheme="majorHAnsi" w:hAnsiTheme="majorHAnsi"/>
                <w:b/>
                <w:color w:val="FFFFFF" w:themeColor="background1"/>
                <w:sz w:val="16"/>
                <w:szCs w:val="20"/>
                <w:lang w:val="es-CO"/>
              </w:rPr>
            </w:pPr>
            <w:r w:rsidRPr="007C7917">
              <w:rPr>
                <w:rFonts w:asciiTheme="majorHAnsi" w:hAnsiTheme="majorHAnsi"/>
                <w:b/>
                <w:color w:val="FFFFFF" w:themeColor="background1"/>
                <w:sz w:val="16"/>
                <w:szCs w:val="20"/>
                <w:lang w:val="es-CO"/>
              </w:rPr>
              <w:t>TOTAL</w:t>
            </w:r>
          </w:p>
        </w:tc>
      </w:tr>
      <w:tr w:rsidR="00D9417F" w:rsidRPr="007C7917" w:rsidTr="008C60BC">
        <w:trPr>
          <w:cantSplit/>
        </w:trPr>
        <w:tc>
          <w:tcPr>
            <w:tcW w:w="2197" w:type="dxa"/>
            <w:vMerge/>
            <w:tcBorders>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both"/>
              <w:rPr>
                <w:rFonts w:asciiTheme="majorHAnsi" w:hAnsiTheme="majorHAnsi"/>
                <w:b/>
                <w:color w:val="000000"/>
                <w:sz w:val="16"/>
                <w:szCs w:val="20"/>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center"/>
              <w:rPr>
                <w:rFonts w:asciiTheme="majorHAnsi" w:hAnsiTheme="majorHAnsi"/>
                <w:b/>
                <w:i/>
                <w:color w:val="FFFFFF" w:themeColor="background1"/>
                <w:sz w:val="16"/>
                <w:szCs w:val="20"/>
                <w:lang w:val="es-CO"/>
              </w:rPr>
            </w:pPr>
            <w:r w:rsidRPr="007C7917">
              <w:rPr>
                <w:rFonts w:asciiTheme="majorHAnsi" w:hAnsiTheme="majorHAnsi"/>
                <w:b/>
                <w:color w:val="FFFFFF" w:themeColor="background1"/>
                <w:sz w:val="16"/>
                <w:szCs w:val="20"/>
                <w:lang w:val="es-CO"/>
              </w:rPr>
              <w:t>FODEIN</w:t>
            </w:r>
          </w:p>
        </w:tc>
        <w:tc>
          <w:tcPr>
            <w:tcW w:w="1701"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center"/>
              <w:rPr>
                <w:rFonts w:asciiTheme="majorHAnsi" w:hAnsiTheme="majorHAnsi"/>
                <w:b/>
                <w:color w:val="FFFFFF" w:themeColor="background1"/>
                <w:sz w:val="16"/>
                <w:szCs w:val="20"/>
                <w:lang w:val="es-CO"/>
              </w:rPr>
            </w:pPr>
            <w:r w:rsidRPr="007C7917">
              <w:rPr>
                <w:rFonts w:asciiTheme="majorHAnsi" w:hAnsiTheme="majorHAnsi"/>
                <w:b/>
                <w:color w:val="FFFFFF" w:themeColor="background1"/>
                <w:sz w:val="16"/>
                <w:szCs w:val="20"/>
                <w:lang w:val="es-CO"/>
              </w:rPr>
              <w:t>Contrapartida Programa</w:t>
            </w:r>
          </w:p>
        </w:tc>
        <w:tc>
          <w:tcPr>
            <w:tcW w:w="1559" w:type="dxa"/>
            <w:tcBorders>
              <w:top w:val="single" w:sz="4" w:space="0" w:color="auto"/>
              <w:left w:val="single" w:sz="6" w:space="0" w:color="auto"/>
              <w:bottom w:val="single" w:sz="6" w:space="0" w:color="auto"/>
              <w:right w:val="single" w:sz="6" w:space="0" w:color="auto"/>
            </w:tcBorders>
            <w:shd w:val="clear" w:color="auto" w:fill="76923C" w:themeFill="accent3" w:themeFillShade="BF"/>
          </w:tcPr>
          <w:p w:rsidR="00D9417F" w:rsidRPr="007C7917" w:rsidRDefault="00D9417F" w:rsidP="008C60BC">
            <w:pPr>
              <w:widowControl w:val="0"/>
              <w:jc w:val="center"/>
              <w:rPr>
                <w:rFonts w:asciiTheme="majorHAnsi" w:hAnsiTheme="majorHAnsi"/>
                <w:b/>
                <w:color w:val="FFFFFF" w:themeColor="background1"/>
                <w:sz w:val="16"/>
                <w:szCs w:val="20"/>
                <w:lang w:val="es-CO"/>
              </w:rPr>
            </w:pPr>
            <w:r w:rsidRPr="007C7917">
              <w:rPr>
                <w:rFonts w:asciiTheme="majorHAnsi" w:hAnsiTheme="majorHAnsi"/>
                <w:b/>
                <w:color w:val="FFFFFF" w:themeColor="background1"/>
                <w:sz w:val="16"/>
                <w:szCs w:val="20"/>
                <w:lang w:val="es-CO"/>
              </w:rPr>
              <w:t>Contrapartida Externa</w:t>
            </w:r>
          </w:p>
        </w:tc>
        <w:tc>
          <w:tcPr>
            <w:tcW w:w="1701" w:type="dxa"/>
            <w:vMerge/>
            <w:tcBorders>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widowControl w:val="0"/>
              <w:jc w:val="both"/>
              <w:rPr>
                <w:rFonts w:asciiTheme="majorHAnsi" w:hAnsiTheme="majorHAnsi"/>
                <w:b/>
                <w:color w:val="000000"/>
                <w:sz w:val="16"/>
                <w:szCs w:val="20"/>
                <w:lang w:val="es-CO"/>
              </w:rPr>
            </w:pP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Personal</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color w:val="76923C" w:themeColor="accent3" w:themeShade="BF"/>
                <w:sz w:val="16"/>
                <w:szCs w:val="22"/>
                <w:lang w:val="es-CO"/>
              </w:rPr>
              <w:t>Auxiliares de investigación</w:t>
            </w:r>
          </w:p>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sz w:val="16"/>
                <w:szCs w:val="22"/>
                <w:lang w:val="es-CO"/>
              </w:rPr>
              <w:t xml:space="preserve">4,500,000 </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color w:val="76923C" w:themeColor="accent3" w:themeShade="BF"/>
                <w:sz w:val="16"/>
                <w:szCs w:val="22"/>
                <w:lang w:val="es-CO"/>
              </w:rPr>
              <w:t>Horas nómina docentes</w:t>
            </w:r>
          </w:p>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color w:val="000000" w:themeColor="text1"/>
                <w:sz w:val="16"/>
                <w:szCs w:val="22"/>
                <w:lang w:val="es-CO"/>
              </w:rPr>
              <w:t>10,733,737</w:t>
            </w: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15,233,737</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 xml:space="preserve">Equipos </w:t>
            </w:r>
          </w:p>
          <w:p w:rsidR="00D9417F" w:rsidRPr="007C7917" w:rsidRDefault="00D9417F" w:rsidP="008C60BC">
            <w:pPr>
              <w:widowControl w:val="0"/>
              <w:jc w:val="center"/>
              <w:rPr>
                <w:rFonts w:asciiTheme="majorHAnsi" w:hAnsiTheme="majorHAnsi"/>
                <w:color w:val="000000"/>
                <w:sz w:val="16"/>
                <w:szCs w:val="20"/>
                <w:lang w:val="en-US"/>
              </w:rPr>
            </w:pPr>
            <w:r w:rsidRPr="007C7917">
              <w:rPr>
                <w:rFonts w:asciiTheme="majorHAnsi" w:hAnsiTheme="majorHAnsi"/>
                <w:b/>
                <w:color w:val="000000"/>
                <w:sz w:val="16"/>
                <w:szCs w:val="20"/>
                <w:u w:val="single"/>
                <w:lang w:val="es-CO"/>
              </w:rPr>
              <w:t>(Equipos electrónicos o mecánicos, necesarios para procesos de experimentación en laboratorios o en la creación de nuevas tecnologías)</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r w:rsidRPr="007C7917">
              <w:rPr>
                <w:rFonts w:ascii="Garamond" w:hAnsi="Garamond"/>
                <w:color w:val="000000"/>
                <w:sz w:val="16"/>
                <w:szCs w:val="22"/>
                <w:lang w:val="en-US"/>
              </w:rPr>
              <w:t>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r w:rsidRPr="007C7917">
              <w:rPr>
                <w:rFonts w:ascii="Garamond" w:hAnsi="Garamond"/>
                <w:color w:val="000000"/>
                <w:sz w:val="16"/>
                <w:szCs w:val="22"/>
                <w:lang w:val="en-US"/>
              </w:rPr>
              <w:t>0</w:t>
            </w:r>
          </w:p>
        </w:tc>
      </w:tr>
      <w:tr w:rsidR="00D9417F" w:rsidRPr="007C7917" w:rsidTr="008C60BC">
        <w:trPr>
          <w:trHeight w:val="318"/>
        </w:trPr>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n-US"/>
              </w:rPr>
            </w:pPr>
            <w:r w:rsidRPr="007C7917">
              <w:rPr>
                <w:rFonts w:asciiTheme="majorHAnsi" w:hAnsiTheme="majorHAnsi"/>
                <w:color w:val="000000"/>
                <w:sz w:val="16"/>
                <w:szCs w:val="20"/>
                <w:lang w:val="en-US"/>
              </w:rPr>
              <w:t xml:space="preserve">Software </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r w:rsidRPr="007C7917">
              <w:rPr>
                <w:rFonts w:ascii="Garamond" w:hAnsi="Garamond"/>
                <w:color w:val="000000"/>
                <w:sz w:val="16"/>
                <w:szCs w:val="22"/>
                <w:lang w:val="en-US"/>
              </w:rPr>
              <w:t>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n-US"/>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n-US"/>
              </w:rPr>
            </w:pPr>
            <w:r w:rsidRPr="007C7917">
              <w:rPr>
                <w:rFonts w:ascii="Garamond" w:hAnsi="Garamond"/>
                <w:color w:val="000000"/>
                <w:sz w:val="16"/>
                <w:szCs w:val="22"/>
                <w:lang w:val="en-US"/>
              </w:rPr>
              <w:t>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 xml:space="preserve">Materiales </w:t>
            </w:r>
          </w:p>
          <w:p w:rsidR="00D9417F" w:rsidRPr="007C7917" w:rsidRDefault="00D9417F" w:rsidP="008C60BC">
            <w:pPr>
              <w:widowControl w:val="0"/>
              <w:jc w:val="center"/>
              <w:rPr>
                <w:rFonts w:asciiTheme="majorHAnsi" w:hAnsiTheme="majorHAnsi"/>
                <w:b/>
                <w:color w:val="000000"/>
                <w:sz w:val="16"/>
                <w:szCs w:val="20"/>
                <w:u w:val="single"/>
                <w:lang w:val="es-CO"/>
              </w:rPr>
            </w:pPr>
            <w:r w:rsidRPr="007C7917">
              <w:rPr>
                <w:rFonts w:asciiTheme="majorHAnsi" w:hAnsiTheme="majorHAnsi"/>
                <w:b/>
                <w:color w:val="000000"/>
                <w:sz w:val="16"/>
                <w:szCs w:val="20"/>
                <w:u w:val="single"/>
                <w:lang w:val="es-CO"/>
              </w:rPr>
              <w:t xml:space="preserve">(Elementos necesarios para el desarrollo del proyecto: tornillos, tuercas, reactivos químicos, sensores, etc). </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Papelería</w:t>
            </w:r>
          </w:p>
          <w:p w:rsidR="00D9417F" w:rsidRPr="007C7917" w:rsidRDefault="00D9417F" w:rsidP="008C60BC">
            <w:pPr>
              <w:widowControl w:val="0"/>
              <w:jc w:val="center"/>
              <w:rPr>
                <w:rFonts w:asciiTheme="majorHAnsi" w:hAnsiTheme="majorHAnsi"/>
                <w:b/>
                <w:color w:val="000000"/>
                <w:sz w:val="16"/>
                <w:szCs w:val="20"/>
                <w:u w:val="single"/>
                <w:lang w:val="es-CO"/>
              </w:rPr>
            </w:pPr>
            <w:r w:rsidRPr="007C7917">
              <w:rPr>
                <w:rFonts w:asciiTheme="majorHAnsi" w:hAnsiTheme="majorHAnsi"/>
                <w:b/>
                <w:color w:val="000000"/>
                <w:sz w:val="16"/>
                <w:szCs w:val="20"/>
                <w:u w:val="single"/>
                <w:lang w:val="es-CO"/>
              </w:rPr>
              <w:t>(Resmas de papel, marcadores, lápices, resaltadores, casetes de audio, cds, etc.)</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144,000</w:t>
            </w: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auto"/>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144,000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b/>
                <w:color w:val="000000"/>
                <w:sz w:val="16"/>
                <w:szCs w:val="20"/>
                <w:u w:val="single"/>
                <w:lang w:val="es-CO"/>
              </w:rPr>
            </w:pPr>
            <w:r w:rsidRPr="007C7917">
              <w:rPr>
                <w:rFonts w:asciiTheme="majorHAnsi" w:hAnsiTheme="majorHAnsi"/>
                <w:b/>
                <w:color w:val="000000"/>
                <w:sz w:val="16"/>
                <w:szCs w:val="20"/>
                <w:u w:val="single"/>
                <w:lang w:val="es-CO"/>
              </w:rPr>
              <w:t>Fotocopias</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100,000</w:t>
            </w: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auto"/>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100,000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Salidas  de campo</w:t>
            </w:r>
          </w:p>
          <w:p w:rsidR="00D9417F" w:rsidRPr="007C7917" w:rsidRDefault="00D9417F" w:rsidP="008C60BC">
            <w:pPr>
              <w:widowControl w:val="0"/>
              <w:jc w:val="center"/>
              <w:rPr>
                <w:rFonts w:asciiTheme="majorHAnsi" w:hAnsiTheme="majorHAnsi"/>
                <w:b/>
                <w:color w:val="000000"/>
                <w:sz w:val="16"/>
                <w:szCs w:val="20"/>
                <w:u w:val="single"/>
                <w:lang w:val="es-CO"/>
              </w:rPr>
            </w:pPr>
            <w:r w:rsidRPr="007C7917">
              <w:rPr>
                <w:rFonts w:asciiTheme="majorHAnsi" w:hAnsiTheme="majorHAnsi"/>
                <w:b/>
                <w:color w:val="000000"/>
                <w:sz w:val="16"/>
                <w:szCs w:val="20"/>
                <w:u w:val="single"/>
                <w:lang w:val="es-CO"/>
              </w:rPr>
              <w:t xml:space="preserve">(Desplazamiento para realizar labores de recolección de datos. Se financia: transporte, hospedaje, gastos necesarios para recopilar información, Se pueden presupuestar hasta 40 mil pesos por cada 24 horas que el investigador esté haciendo trabajo de campo). </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8,310,000</w:t>
            </w: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auto"/>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8,310,000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Material bibliográfico</w:t>
            </w:r>
          </w:p>
          <w:p w:rsidR="00D9417F" w:rsidRPr="007C7917" w:rsidRDefault="00D9417F" w:rsidP="008C60BC">
            <w:pPr>
              <w:widowControl w:val="0"/>
              <w:jc w:val="center"/>
              <w:rPr>
                <w:rFonts w:asciiTheme="majorHAnsi" w:hAnsiTheme="majorHAnsi"/>
                <w:b/>
                <w:color w:val="000000"/>
                <w:sz w:val="16"/>
                <w:szCs w:val="20"/>
                <w:u w:val="single"/>
                <w:lang w:val="es-CO"/>
              </w:rPr>
            </w:pPr>
            <w:r w:rsidRPr="007C7917">
              <w:rPr>
                <w:rFonts w:asciiTheme="majorHAnsi" w:hAnsiTheme="majorHAnsi"/>
                <w:b/>
                <w:color w:val="000000"/>
                <w:sz w:val="16"/>
                <w:szCs w:val="20"/>
                <w:u w:val="single"/>
                <w:lang w:val="es-CO"/>
              </w:rPr>
              <w:t>(Libros necesarios para el desarrollo del proyecto que no se encuentren en el catálogo de la USTA)</w:t>
            </w:r>
          </w:p>
        </w:tc>
        <w:tc>
          <w:tcPr>
            <w:tcW w:w="1559"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136,600</w:t>
            </w: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shd w:val="clear" w:color="auto" w:fill="auto"/>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shd w:val="clear" w:color="auto" w:fill="auto"/>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136,600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Publicaciones y patentes</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300,000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300,000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Servicios técnicos</w:t>
            </w:r>
            <w:r w:rsidRPr="007C7917">
              <w:rPr>
                <w:rFonts w:asciiTheme="majorHAnsi" w:hAnsiTheme="majorHAnsi"/>
                <w:b/>
                <w:sz w:val="16"/>
                <w:szCs w:val="16"/>
                <w:lang w:val="es-CO"/>
              </w:rPr>
              <w:t>(C</w:t>
            </w:r>
            <w:r w:rsidRPr="007C7917">
              <w:rPr>
                <w:rFonts w:asciiTheme="majorHAnsi" w:hAnsiTheme="majorHAnsi"/>
                <w:b/>
                <w:sz w:val="16"/>
                <w:szCs w:val="16"/>
                <w:u w:val="single"/>
                <w:lang w:val="es-CO"/>
              </w:rPr>
              <w:t>ontratación de personal externo y especializado)</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color w:val="000000" w:themeColor="text1"/>
                <w:sz w:val="16"/>
                <w:szCs w:val="22"/>
                <w:lang w:val="es-CO"/>
              </w:rPr>
              <w:t>1,800,000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1,800,000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Movilidad académica</w:t>
            </w:r>
          </w:p>
          <w:p w:rsidR="00D9417F" w:rsidRPr="007C7917" w:rsidRDefault="00D9417F" w:rsidP="008C60BC">
            <w:pPr>
              <w:widowControl w:val="0"/>
              <w:jc w:val="center"/>
              <w:rPr>
                <w:rFonts w:asciiTheme="majorHAnsi" w:hAnsiTheme="majorHAnsi"/>
                <w:b/>
                <w:sz w:val="16"/>
                <w:szCs w:val="20"/>
                <w:u w:val="single"/>
                <w:lang w:val="es-CO"/>
              </w:rPr>
            </w:pPr>
            <w:r w:rsidRPr="007C7917">
              <w:rPr>
                <w:rFonts w:asciiTheme="majorHAnsi" w:hAnsiTheme="majorHAnsi"/>
                <w:b/>
                <w:sz w:val="16"/>
                <w:szCs w:val="20"/>
                <w:u w:val="single"/>
                <w:lang w:val="es-CO"/>
              </w:rPr>
              <w:t>(Eventos de socialización de resultados)</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76923C" w:themeColor="accent3" w:themeShade="BF"/>
                <w:sz w:val="16"/>
                <w:lang w:val="es-CO"/>
              </w:rPr>
            </w:pPr>
            <w:r w:rsidRPr="007C7917">
              <w:rPr>
                <w:rFonts w:ascii="Garamond" w:hAnsi="Garamond"/>
                <w:color w:val="76923C" w:themeColor="accent3" w:themeShade="BF"/>
                <w:sz w:val="16"/>
                <w:szCs w:val="22"/>
                <w:lang w:val="es-CO"/>
              </w:rPr>
              <w:t>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Imprevistos (10% de la asignación)</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1,589,060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1,589,060</w:t>
            </w:r>
          </w:p>
        </w:tc>
      </w:tr>
      <w:tr w:rsidR="00D9417F" w:rsidRPr="007C7917" w:rsidTr="008C60BC">
        <w:tc>
          <w:tcPr>
            <w:tcW w:w="2197"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Pares Académicos</w:t>
            </w:r>
          </w:p>
        </w:tc>
        <w:tc>
          <w:tcPr>
            <w:tcW w:w="1559"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center"/>
              <w:rPr>
                <w:rFonts w:ascii="Garamond" w:hAnsi="Garamond"/>
                <w:color w:val="000000"/>
                <w:sz w:val="16"/>
                <w:lang w:val="es-CO"/>
              </w:rPr>
            </w:pPr>
            <w:r w:rsidRPr="007C7917">
              <w:rPr>
                <w:rFonts w:ascii="Garamond" w:hAnsi="Garamond"/>
                <w:color w:val="000000"/>
                <w:sz w:val="16"/>
                <w:szCs w:val="22"/>
                <w:lang w:val="es-CO"/>
              </w:rPr>
              <w:t>$600.000</w:t>
            </w: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p>
        </w:tc>
        <w:tc>
          <w:tcPr>
            <w:tcW w:w="1559" w:type="dxa"/>
            <w:tcBorders>
              <w:top w:val="single" w:sz="6" w:space="0" w:color="auto"/>
              <w:left w:val="single" w:sz="6" w:space="0" w:color="auto"/>
              <w:bottom w:val="single" w:sz="6" w:space="0" w:color="auto"/>
              <w:right w:val="single" w:sz="6" w:space="0" w:color="auto"/>
            </w:tcBorders>
          </w:tcPr>
          <w:p w:rsidR="00D9417F" w:rsidRPr="007C7917" w:rsidRDefault="00D9417F" w:rsidP="008C60BC">
            <w:pPr>
              <w:widowControl w:val="0"/>
              <w:jc w:val="both"/>
              <w:rPr>
                <w:rFonts w:ascii="Garamond" w:hAnsi="Garamond"/>
                <w:color w:val="000000"/>
                <w:sz w:val="16"/>
                <w:lang w:val="es-CO"/>
              </w:rPr>
            </w:pPr>
          </w:p>
        </w:tc>
        <w:tc>
          <w:tcPr>
            <w:tcW w:w="1701" w:type="dxa"/>
            <w:tcBorders>
              <w:top w:val="single" w:sz="6" w:space="0" w:color="auto"/>
              <w:left w:val="single" w:sz="6" w:space="0" w:color="auto"/>
              <w:bottom w:val="single" w:sz="6" w:space="0" w:color="auto"/>
              <w:right w:val="single" w:sz="6" w:space="0" w:color="auto"/>
            </w:tcBorders>
            <w:vAlign w:val="center"/>
          </w:tcPr>
          <w:p w:rsidR="00D9417F" w:rsidRPr="007C7917" w:rsidRDefault="00D9417F" w:rsidP="008C60BC">
            <w:pPr>
              <w:widowControl w:val="0"/>
              <w:jc w:val="both"/>
              <w:rPr>
                <w:rFonts w:ascii="Garamond" w:hAnsi="Garamond"/>
                <w:color w:val="000000"/>
                <w:sz w:val="16"/>
                <w:lang w:val="es-CO"/>
              </w:rPr>
            </w:pPr>
            <w:r w:rsidRPr="007C7917">
              <w:rPr>
                <w:rFonts w:ascii="Garamond" w:hAnsi="Garamond"/>
                <w:color w:val="000000"/>
                <w:sz w:val="16"/>
                <w:szCs w:val="22"/>
                <w:lang w:val="es-CO"/>
              </w:rPr>
              <w:t>600,000</w:t>
            </w:r>
          </w:p>
        </w:tc>
      </w:tr>
      <w:tr w:rsidR="00D9417F" w:rsidRPr="007C7917" w:rsidTr="008C60BC">
        <w:trPr>
          <w:trHeight w:val="96"/>
        </w:trPr>
        <w:tc>
          <w:tcPr>
            <w:tcW w:w="2197" w:type="dxa"/>
            <w:tcBorders>
              <w:top w:val="single" w:sz="6" w:space="0" w:color="auto"/>
              <w:left w:val="single" w:sz="6" w:space="0" w:color="auto"/>
              <w:bottom w:val="single" w:sz="6" w:space="0" w:color="auto"/>
              <w:right w:val="single" w:sz="6" w:space="0" w:color="auto"/>
            </w:tcBorders>
            <w:shd w:val="clear" w:color="auto" w:fill="76923C" w:themeFill="accent3" w:themeFillShade="BF"/>
            <w:vAlign w:val="center"/>
          </w:tcPr>
          <w:p w:rsidR="00D9417F" w:rsidRPr="007C7917" w:rsidRDefault="00D9417F" w:rsidP="008C60BC">
            <w:pPr>
              <w:pStyle w:val="Ttulo2"/>
              <w:keepNext w:val="0"/>
              <w:numPr>
                <w:ilvl w:val="0"/>
                <w:numId w:val="0"/>
              </w:numPr>
              <w:jc w:val="center"/>
              <w:rPr>
                <w:rFonts w:asciiTheme="majorHAnsi" w:hAnsiTheme="majorHAnsi"/>
                <w:color w:val="FFFFFF" w:themeColor="background1"/>
                <w:sz w:val="16"/>
                <w:lang w:val="es-CO"/>
              </w:rPr>
            </w:pPr>
            <w:r w:rsidRPr="007C7917">
              <w:rPr>
                <w:rFonts w:asciiTheme="majorHAnsi" w:hAnsiTheme="majorHAnsi"/>
                <w:color w:val="FFFFFF" w:themeColor="background1"/>
                <w:sz w:val="16"/>
              </w:rPr>
              <w:t>TOTAL</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15,890,600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10,733,737</w:t>
            </w:r>
          </w:p>
        </w:tc>
        <w:tc>
          <w:tcPr>
            <w:tcW w:w="1559" w:type="dxa"/>
            <w:tcBorders>
              <w:top w:val="single" w:sz="6" w:space="0" w:color="auto"/>
              <w:left w:val="single" w:sz="6" w:space="0" w:color="auto"/>
              <w:bottom w:val="single" w:sz="6" w:space="0" w:color="auto"/>
              <w:right w:val="single" w:sz="6" w:space="0" w:color="auto"/>
            </w:tcBorders>
            <w:shd w:val="clear" w:color="auto" w:fill="EAF1DD" w:themeFill="accent3" w:themeFillTint="33"/>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0</w:t>
            </w:r>
          </w:p>
        </w:tc>
        <w:tc>
          <w:tcPr>
            <w:tcW w:w="1701" w:type="dxa"/>
            <w:tcBorders>
              <w:top w:val="single" w:sz="6" w:space="0" w:color="auto"/>
              <w:left w:val="single" w:sz="6" w:space="0" w:color="auto"/>
              <w:bottom w:val="single" w:sz="6" w:space="0" w:color="auto"/>
              <w:right w:val="single" w:sz="6" w:space="0" w:color="auto"/>
            </w:tcBorders>
            <w:shd w:val="clear" w:color="auto" w:fill="EAF1DD" w:themeFill="accent3" w:themeFillTint="33"/>
            <w:vAlign w:val="center"/>
          </w:tcPr>
          <w:p w:rsidR="00D9417F" w:rsidRPr="007C7917" w:rsidRDefault="00D9417F" w:rsidP="008C60BC">
            <w:pPr>
              <w:widowControl w:val="0"/>
              <w:jc w:val="center"/>
              <w:rPr>
                <w:rFonts w:asciiTheme="majorHAnsi" w:hAnsiTheme="majorHAnsi"/>
                <w:color w:val="000000"/>
                <w:sz w:val="16"/>
                <w:szCs w:val="20"/>
                <w:lang w:val="es-CO"/>
              </w:rPr>
            </w:pPr>
            <w:r w:rsidRPr="007C7917">
              <w:rPr>
                <w:rFonts w:asciiTheme="majorHAnsi" w:hAnsiTheme="majorHAnsi"/>
                <w:color w:val="000000"/>
                <w:sz w:val="16"/>
                <w:szCs w:val="20"/>
                <w:lang w:val="es-CO"/>
              </w:rPr>
              <w:t>26,624,377</w:t>
            </w:r>
          </w:p>
        </w:tc>
      </w:tr>
    </w:tbl>
    <w:p w:rsidR="00D9417F" w:rsidRPr="004772F3" w:rsidRDefault="00D9417F" w:rsidP="00D9417F">
      <w:pPr>
        <w:spacing w:before="120" w:after="120" w:line="360" w:lineRule="auto"/>
        <w:ind w:left="360"/>
        <w:jc w:val="both"/>
        <w:rPr>
          <w:b/>
        </w:rPr>
      </w:pPr>
    </w:p>
    <w:p w:rsidR="00CF0FEB" w:rsidRPr="005A1C60" w:rsidRDefault="00C258A2" w:rsidP="005A1C60">
      <w:pPr>
        <w:numPr>
          <w:ilvl w:val="0"/>
          <w:numId w:val="23"/>
        </w:numPr>
        <w:spacing w:before="120" w:after="120" w:line="360" w:lineRule="auto"/>
        <w:jc w:val="both"/>
        <w:rPr>
          <w:b/>
        </w:rPr>
      </w:pPr>
      <w:r w:rsidRPr="005A1C60">
        <w:rPr>
          <w:b/>
        </w:rPr>
        <w:t>Referencias bibliográficas</w:t>
      </w:r>
    </w:p>
    <w:p w:rsidR="002540EB" w:rsidRPr="005A1C60" w:rsidRDefault="0012714E" w:rsidP="00D9417F">
      <w:pPr>
        <w:pStyle w:val="EndNoteBibliography"/>
        <w:spacing w:after="0"/>
        <w:rPr>
          <w:rFonts w:ascii="Times New Roman" w:hAnsi="Times New Roman" w:cs="Times New Roman"/>
          <w:sz w:val="24"/>
          <w:szCs w:val="24"/>
        </w:rPr>
      </w:pPr>
      <w:r w:rsidRPr="0012714E">
        <w:rPr>
          <w:rFonts w:ascii="Times New Roman" w:hAnsi="Times New Roman" w:cs="Times New Roman"/>
          <w:sz w:val="24"/>
          <w:szCs w:val="24"/>
          <w:lang w:val="es-CO"/>
        </w:rPr>
        <w:lastRenderedPageBreak/>
        <w:fldChar w:fldCharType="begin"/>
      </w:r>
      <w:r w:rsidR="002540EB" w:rsidRPr="005A1C60">
        <w:rPr>
          <w:rFonts w:ascii="Times New Roman" w:hAnsi="Times New Roman" w:cs="Times New Roman"/>
          <w:sz w:val="24"/>
          <w:szCs w:val="24"/>
          <w:lang w:val="es-CO"/>
        </w:rPr>
        <w:instrText xml:space="preserve"> ADDIN EN.REFLIST </w:instrText>
      </w:r>
      <w:r w:rsidRPr="0012714E">
        <w:rPr>
          <w:rFonts w:ascii="Times New Roman" w:hAnsi="Times New Roman" w:cs="Times New Roman"/>
          <w:sz w:val="24"/>
          <w:szCs w:val="24"/>
          <w:lang w:val="es-CO"/>
        </w:rPr>
        <w:fldChar w:fldCharType="separate"/>
      </w:r>
      <w:r w:rsidR="002540EB" w:rsidRPr="005A1C60">
        <w:rPr>
          <w:rFonts w:ascii="Times New Roman" w:hAnsi="Times New Roman" w:cs="Times New Roman"/>
          <w:sz w:val="24"/>
          <w:szCs w:val="24"/>
        </w:rPr>
        <w:t xml:space="preserve">Belucci, M., &amp; Raspisardi, F. (1999). Alrededor de la identidad. Las luchas políticas por el presente. </w:t>
      </w:r>
      <w:r w:rsidR="002540EB" w:rsidRPr="005A1C60">
        <w:rPr>
          <w:rFonts w:ascii="Times New Roman" w:hAnsi="Times New Roman" w:cs="Times New Roman"/>
          <w:i/>
          <w:sz w:val="24"/>
          <w:szCs w:val="24"/>
        </w:rPr>
        <w:t>Nueva sociedad</w:t>
      </w:r>
      <w:r w:rsidR="002540EB" w:rsidRPr="005A1C60">
        <w:rPr>
          <w:rFonts w:ascii="Times New Roman" w:hAnsi="Times New Roman" w:cs="Times New Roman"/>
          <w:sz w:val="24"/>
          <w:szCs w:val="24"/>
        </w:rPr>
        <w:t xml:space="preserve">(162), 40-53. </w:t>
      </w:r>
    </w:p>
    <w:p w:rsidR="00CF0FE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Bell Hooks, A. B., Chela Sandoval, Gloria Anzaldúa. (2004). </w:t>
      </w:r>
      <w:r w:rsidRPr="005A1C60">
        <w:rPr>
          <w:rFonts w:ascii="Times New Roman" w:hAnsi="Times New Roman" w:cs="Times New Roman"/>
          <w:i/>
          <w:sz w:val="24"/>
          <w:szCs w:val="24"/>
        </w:rPr>
        <w:t>Otras inapropiables. Feminismos desde la frontera</w:t>
      </w:r>
      <w:r w:rsidRPr="005A1C60">
        <w:rPr>
          <w:rFonts w:ascii="Times New Roman" w:hAnsi="Times New Roman" w:cs="Times New Roman"/>
          <w:sz w:val="24"/>
          <w:szCs w:val="24"/>
        </w:rPr>
        <w:t>.</w:t>
      </w:r>
    </w:p>
    <w:p w:rsidR="00457C17" w:rsidRPr="00457C17" w:rsidRDefault="00457C17" w:rsidP="00D9417F">
      <w:pPr>
        <w:jc w:val="both"/>
      </w:pPr>
      <w:r w:rsidRPr="00457C17">
        <w:t>Briones</w:t>
      </w:r>
      <w:r>
        <w:t>, C</w:t>
      </w:r>
      <w:r w:rsidRPr="00457C17">
        <w:t xml:space="preserve">. </w:t>
      </w:r>
      <w:r>
        <w:t>(</w:t>
      </w:r>
      <w:r w:rsidRPr="00457C17">
        <w:t>2007</w:t>
      </w:r>
      <w:r>
        <w:t>)</w:t>
      </w:r>
      <w:r w:rsidRPr="00457C17">
        <w:t xml:space="preserve">. Teorías performativas de la identidad y performatividad de las teorías. </w:t>
      </w:r>
      <w:r w:rsidRPr="00457C17">
        <w:rPr>
          <w:i/>
          <w:iCs/>
        </w:rPr>
        <w:t>Tabula Rasa</w:t>
      </w:r>
      <w:r w:rsidRPr="00457C17">
        <w:t xml:space="preserve"> (6): 55-83.</w:t>
      </w:r>
    </w:p>
    <w:p w:rsidR="00CF0FEB" w:rsidRPr="005A1C60" w:rsidRDefault="00CF0FEB"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 xml:space="preserve">Cerrejón (2009) </w:t>
      </w:r>
      <w:r w:rsidRPr="005A1C60">
        <w:rPr>
          <w:rFonts w:ascii="Times New Roman" w:hAnsi="Times New Roman" w:cs="Times New Roman"/>
          <w:i/>
          <w:sz w:val="24"/>
          <w:szCs w:val="24"/>
          <w:lang w:val="es-CO"/>
        </w:rPr>
        <w:t>Rehabilitación de las tierras intervenidas por la  minería a cielo abierto</w:t>
      </w:r>
      <w:r w:rsidRPr="005A1C60">
        <w:rPr>
          <w:rFonts w:ascii="Times New Roman" w:hAnsi="Times New Roman" w:cs="Times New Roman"/>
          <w:sz w:val="24"/>
          <w:szCs w:val="24"/>
          <w:lang w:val="es-CO"/>
        </w:rPr>
        <w:t>. Cerrejón.</w:t>
      </w:r>
    </w:p>
    <w:p w:rsidR="00CF0FEB" w:rsidRPr="005A1C60" w:rsidRDefault="00CF0FEB"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bCs/>
          <w:sz w:val="24"/>
          <w:szCs w:val="24"/>
          <w:lang w:val="es-CO"/>
        </w:rPr>
        <w:t xml:space="preserve">Chomsky, Aviva (2007). </w:t>
      </w:r>
      <w:r w:rsidRPr="005A1C60">
        <w:rPr>
          <w:rFonts w:ascii="Times New Roman" w:hAnsi="Times New Roman" w:cs="Times New Roman"/>
          <w:bCs/>
          <w:i/>
          <w:sz w:val="24"/>
          <w:szCs w:val="24"/>
          <w:lang w:val="es-CO"/>
        </w:rPr>
        <w:t>Bajo el manto del carbón: </w:t>
      </w:r>
      <w:r w:rsidRPr="005A1C60">
        <w:rPr>
          <w:rFonts w:ascii="Times New Roman" w:hAnsi="Times New Roman" w:cs="Times New Roman"/>
          <w:i/>
          <w:sz w:val="24"/>
          <w:szCs w:val="24"/>
          <w:lang w:val="es-CO"/>
        </w:rPr>
        <w:t>pueblos y multinacionales en las minas de El Cerrejón</w:t>
      </w:r>
      <w:r w:rsidRPr="005A1C60">
        <w:rPr>
          <w:rFonts w:ascii="Times New Roman" w:hAnsi="Times New Roman" w:cs="Times New Roman"/>
          <w:sz w:val="24"/>
          <w:szCs w:val="24"/>
          <w:lang w:val="es-CO"/>
        </w:rPr>
        <w:t>. Bogotá: Casa Editorial Pisando Callos.</w:t>
      </w:r>
    </w:p>
    <w:p w:rsidR="004E2826" w:rsidRPr="005A1C60" w:rsidRDefault="004E2826"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 xml:space="preserve">Delgado, Gian (Coord) (2013) </w:t>
      </w:r>
      <w:r w:rsidRPr="005A1C60">
        <w:rPr>
          <w:rFonts w:ascii="Times New Roman" w:hAnsi="Times New Roman" w:cs="Times New Roman"/>
          <w:i/>
          <w:sz w:val="24"/>
          <w:szCs w:val="24"/>
          <w:lang w:val="es-CO"/>
        </w:rPr>
        <w:t>Ecología política del extractivismo en América Latina: casos de resistencia y justicia socioambiental</w:t>
      </w:r>
      <w:r w:rsidRPr="005A1C60">
        <w:rPr>
          <w:rFonts w:ascii="Times New Roman" w:hAnsi="Times New Roman" w:cs="Times New Roman"/>
          <w:sz w:val="24"/>
          <w:szCs w:val="24"/>
          <w:lang w:val="es-CO"/>
        </w:rPr>
        <w:t xml:space="preserve">. Buenos Aires: CLACSO. </w:t>
      </w:r>
    </w:p>
    <w:p w:rsidR="004E2826" w:rsidRDefault="004E2826"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 xml:space="preserve">Garay, Luis Jorge. (2013). </w:t>
      </w:r>
      <w:r w:rsidRPr="005A1C60">
        <w:rPr>
          <w:rFonts w:ascii="Times New Roman" w:hAnsi="Times New Roman" w:cs="Times New Roman"/>
          <w:i/>
          <w:sz w:val="24"/>
          <w:szCs w:val="24"/>
          <w:lang w:val="es-CO"/>
        </w:rPr>
        <w:t>Minería en Colombia. Fundamentos para superar el modelo extractivista</w:t>
      </w:r>
      <w:r w:rsidRPr="005A1C60">
        <w:rPr>
          <w:rFonts w:ascii="Times New Roman" w:hAnsi="Times New Roman" w:cs="Times New Roman"/>
          <w:sz w:val="24"/>
          <w:szCs w:val="24"/>
          <w:lang w:val="es-CO"/>
        </w:rPr>
        <w:t>. Bogotá: Contraloría General de la República. Puerta, Silva, Claudia (2010). “El proyecto del Cerrejón: un espacio relacional para los indígenas wayuu, la empresa minera y el Estado colombiano”. En: Boletín de Antropología Universidad de Antioquia, Vol. 24 N.o 41, Medellín, pp. 149-179.</w:t>
      </w:r>
    </w:p>
    <w:p w:rsidR="005D2040" w:rsidRPr="005D2040" w:rsidRDefault="005D2040" w:rsidP="00D558B4">
      <w:pPr>
        <w:pStyle w:val="Bibliografa"/>
        <w:spacing w:line="276" w:lineRule="auto"/>
        <w:jc w:val="both"/>
        <w:rPr>
          <w:noProof/>
        </w:rPr>
      </w:pPr>
      <w:r w:rsidRPr="005D2040">
        <w:rPr>
          <w:noProof/>
        </w:rPr>
        <w:t xml:space="preserve">Gudynas, E. (Enero de 2012). Estado compensador de nuevos extractivismo. Las ambivalencias del progresismo sudamericano. </w:t>
      </w:r>
      <w:r w:rsidRPr="005D2040">
        <w:rPr>
          <w:i/>
          <w:iCs/>
          <w:noProof/>
        </w:rPr>
        <w:t>Nueva Sociedad</w:t>
      </w:r>
      <w:r w:rsidRPr="005D2040">
        <w:rPr>
          <w:noProof/>
        </w:rPr>
        <w:t>(237), 132-133.</w:t>
      </w:r>
    </w:p>
    <w:p w:rsidR="00925A0B" w:rsidRDefault="00CF0FEB" w:rsidP="00D9417F">
      <w:pPr>
        <w:pStyle w:val="EndNoteBibliography"/>
        <w:spacing w:after="0"/>
        <w:rPr>
          <w:rFonts w:ascii="Times New Roman" w:hAnsi="Times New Roman" w:cs="Times New Roman"/>
          <w:sz w:val="24"/>
          <w:szCs w:val="24"/>
          <w:lang w:val="es-ES"/>
        </w:rPr>
      </w:pPr>
      <w:r w:rsidRPr="005A1C60">
        <w:rPr>
          <w:rFonts w:ascii="Times New Roman" w:hAnsi="Times New Roman" w:cs="Times New Roman"/>
          <w:sz w:val="24"/>
          <w:szCs w:val="24"/>
          <w:lang w:val="es-ES"/>
        </w:rPr>
        <w:t xml:space="preserve">Guber, R. (2001). </w:t>
      </w:r>
      <w:r w:rsidRPr="005A1C60">
        <w:rPr>
          <w:rFonts w:ascii="Times New Roman" w:hAnsi="Times New Roman" w:cs="Times New Roman"/>
          <w:i/>
          <w:iCs/>
          <w:sz w:val="24"/>
          <w:szCs w:val="24"/>
          <w:lang w:val="es-ES"/>
        </w:rPr>
        <w:t>La Etnografía - Método, Campo y reflexividad-.</w:t>
      </w:r>
      <w:r w:rsidRPr="005A1C60">
        <w:rPr>
          <w:rFonts w:ascii="Times New Roman" w:hAnsi="Times New Roman" w:cs="Times New Roman"/>
          <w:sz w:val="24"/>
          <w:szCs w:val="24"/>
          <w:lang w:val="es-ES"/>
        </w:rPr>
        <w:t xml:space="preserve"> Bogotá: Norma</w:t>
      </w:r>
    </w:p>
    <w:p w:rsidR="00565F0A" w:rsidRPr="00565F0A" w:rsidRDefault="00565F0A" w:rsidP="00D9417F">
      <w:pPr>
        <w:jc w:val="both"/>
        <w:rPr>
          <w:lang w:val="en-US" w:eastAsia="es-CO"/>
        </w:rPr>
      </w:pPr>
      <w:r w:rsidRPr="005A1C60">
        <w:rPr>
          <w:lang w:val="en-US" w:eastAsia="es-CO"/>
        </w:rPr>
        <w:t>Harding.</w:t>
      </w:r>
      <w:r>
        <w:rPr>
          <w:lang w:val="en-US" w:eastAsia="es-CO"/>
        </w:rPr>
        <w:t xml:space="preserve"> S.</w:t>
      </w:r>
      <w:r w:rsidRPr="005A1C60">
        <w:rPr>
          <w:i/>
          <w:lang w:val="en-US" w:eastAsia="es-CO"/>
        </w:rPr>
        <w:t>¿Existe un método feminista?.  Feminism and methodology</w:t>
      </w:r>
      <w:r w:rsidRPr="005A1C60">
        <w:rPr>
          <w:lang w:val="en-US" w:eastAsia="es-CO"/>
        </w:rPr>
        <w:t>, Bloomingon / indianapolis. Indiana University Press.</w:t>
      </w:r>
    </w:p>
    <w:p w:rsidR="004E2826" w:rsidRPr="005A1C60" w:rsidRDefault="002540EB" w:rsidP="00D9417F">
      <w:pPr>
        <w:pStyle w:val="EndNoteBibliography"/>
        <w:spacing w:after="0"/>
        <w:rPr>
          <w:rFonts w:ascii="Times New Roman" w:hAnsi="Times New Roman" w:cs="Times New Roman"/>
          <w:i/>
          <w:sz w:val="24"/>
          <w:szCs w:val="24"/>
        </w:rPr>
      </w:pPr>
      <w:r w:rsidRPr="005A1C60">
        <w:rPr>
          <w:rFonts w:ascii="Times New Roman" w:hAnsi="Times New Roman" w:cs="Times New Roman"/>
          <w:sz w:val="24"/>
          <w:szCs w:val="24"/>
        </w:rPr>
        <w:t xml:space="preserve">Hernandez, R. (2008). </w:t>
      </w:r>
      <w:r w:rsidRPr="005A1C60">
        <w:rPr>
          <w:rFonts w:ascii="Times New Roman" w:hAnsi="Times New Roman" w:cs="Times New Roman"/>
          <w:i/>
          <w:sz w:val="24"/>
          <w:szCs w:val="24"/>
        </w:rPr>
        <w:t>De feminismos y poscolonialismos: reflexiones desde el Sur del Río Bravo.</w:t>
      </w:r>
    </w:p>
    <w:p w:rsidR="003B76A1" w:rsidRDefault="004E2826"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Iguarán, Vanessa (2013) .</w:t>
      </w:r>
      <w:r w:rsidRPr="005A1C60">
        <w:rPr>
          <w:rFonts w:ascii="Times New Roman" w:hAnsi="Times New Roman" w:cs="Times New Roman"/>
          <w:i/>
          <w:sz w:val="24"/>
          <w:szCs w:val="24"/>
          <w:lang w:val="es-CO"/>
        </w:rPr>
        <w:t xml:space="preserve">Análisis de la Influencia de los Programas Sociales Implementados por El Cerrejón en la noción de Territorio del Pueblo Indígena Wayüü, durante El Período 2009-2011. </w:t>
      </w:r>
      <w:r w:rsidRPr="005A1C60">
        <w:rPr>
          <w:rFonts w:ascii="Times New Roman" w:hAnsi="Times New Roman" w:cs="Times New Roman"/>
          <w:sz w:val="24"/>
          <w:szCs w:val="24"/>
          <w:lang w:val="es-CO"/>
        </w:rPr>
        <w:t xml:space="preserve">Tesis de Grado Para Optar al Título De Politólogo. Bogotá: </w:t>
      </w:r>
    </w:p>
    <w:p w:rsidR="004E2826" w:rsidRPr="005A1C60" w:rsidRDefault="004E2826"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Universidad Colegio Mayor De Nuestra Señora Del Rosario.</w:t>
      </w:r>
    </w:p>
    <w:p w:rsidR="002540EB" w:rsidRPr="005A1C60" w:rsidRDefault="004E2826" w:rsidP="00D9417F">
      <w:pPr>
        <w:pStyle w:val="EndNoteBibliography"/>
        <w:spacing w:after="0"/>
        <w:rPr>
          <w:rFonts w:ascii="Times New Roman" w:hAnsi="Times New Roman" w:cs="Times New Roman"/>
          <w:bCs/>
          <w:sz w:val="24"/>
          <w:szCs w:val="24"/>
          <w:lang w:val="es-CO"/>
        </w:rPr>
      </w:pPr>
      <w:r w:rsidRPr="005A1C60">
        <w:rPr>
          <w:rFonts w:ascii="Times New Roman" w:hAnsi="Times New Roman" w:cs="Times New Roman"/>
          <w:bCs/>
          <w:sz w:val="24"/>
          <w:szCs w:val="24"/>
          <w:lang w:val="es-CO"/>
        </w:rPr>
        <w:t>INDH (2011)</w:t>
      </w:r>
      <w:r w:rsidRPr="005A1C60">
        <w:rPr>
          <w:rFonts w:ascii="Times New Roman" w:hAnsi="Times New Roman" w:cs="Times New Roman"/>
          <w:bCs/>
          <w:i/>
          <w:sz w:val="24"/>
          <w:szCs w:val="24"/>
          <w:lang w:val="es-CO"/>
        </w:rPr>
        <w:t>Pueblos indígenas: diálogo entre culturas. Programa de las Naciones Unidas para el Desarrollo.</w:t>
      </w:r>
      <w:r w:rsidRPr="005A1C60">
        <w:rPr>
          <w:rFonts w:ascii="Times New Roman" w:hAnsi="Times New Roman" w:cs="Times New Roman"/>
          <w:bCs/>
          <w:sz w:val="24"/>
          <w:szCs w:val="24"/>
          <w:lang w:val="es-CO"/>
        </w:rPr>
        <w:t xml:space="preserve"> PNUD (Progrma de las Naciones Unidas para el desarrollo) Colección Cuadernos indh</w:t>
      </w:r>
    </w:p>
    <w:p w:rsidR="002540E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Lugones, M. (2008). Colonialidad y género. </w:t>
      </w:r>
      <w:r w:rsidRPr="005A1C60">
        <w:rPr>
          <w:rFonts w:ascii="Times New Roman" w:hAnsi="Times New Roman" w:cs="Times New Roman"/>
          <w:i/>
          <w:sz w:val="24"/>
          <w:szCs w:val="24"/>
        </w:rPr>
        <w:t>Tabula Rasa</w:t>
      </w:r>
      <w:r w:rsidRPr="005A1C60">
        <w:rPr>
          <w:rFonts w:ascii="Times New Roman" w:hAnsi="Times New Roman" w:cs="Times New Roman"/>
          <w:sz w:val="24"/>
          <w:szCs w:val="24"/>
        </w:rPr>
        <w:t xml:space="preserve">(9), 73-101. </w:t>
      </w:r>
    </w:p>
    <w:p w:rsidR="004E2826"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Lugones, M. (2011). Hacia un feminismo descolonial. </w:t>
      </w:r>
      <w:r w:rsidRPr="005A1C60">
        <w:rPr>
          <w:rFonts w:ascii="Times New Roman" w:hAnsi="Times New Roman" w:cs="Times New Roman"/>
          <w:i/>
          <w:sz w:val="24"/>
          <w:szCs w:val="24"/>
        </w:rPr>
        <w:t>La manzana de la discordia, 6</w:t>
      </w:r>
      <w:r w:rsidRPr="005A1C60">
        <w:rPr>
          <w:rFonts w:ascii="Times New Roman" w:hAnsi="Times New Roman" w:cs="Times New Roman"/>
          <w:sz w:val="24"/>
          <w:szCs w:val="24"/>
        </w:rPr>
        <w:t xml:space="preserve">(2), 105-119. </w:t>
      </w:r>
    </w:p>
    <w:p w:rsidR="003B76A1" w:rsidRPr="005A1C60" w:rsidRDefault="003B76A1" w:rsidP="00D9417F">
      <w:pPr>
        <w:pStyle w:val="EndNoteBibliography"/>
        <w:spacing w:after="0"/>
        <w:rPr>
          <w:rFonts w:ascii="Times New Roman" w:hAnsi="Times New Roman" w:cs="Times New Roman"/>
          <w:sz w:val="24"/>
          <w:szCs w:val="24"/>
        </w:rPr>
      </w:pPr>
      <w:r>
        <w:rPr>
          <w:rFonts w:ascii="Times New Roman" w:hAnsi="Times New Roman" w:cs="Times New Roman"/>
          <w:sz w:val="24"/>
          <w:szCs w:val="24"/>
        </w:rPr>
        <w:t xml:space="preserve">Martínez Rocío; Fajardo July; Gutierrez Esther; (2013). Economías extractivas, relaciones de género y vida cotidiana.  Proyecto convocatoria FODEIN USTA 2013. </w:t>
      </w:r>
      <w:bookmarkStart w:id="0" w:name="_GoBack"/>
      <w:bookmarkEnd w:id="0"/>
    </w:p>
    <w:p w:rsidR="002540EB" w:rsidRPr="005A1C60" w:rsidRDefault="004E2826" w:rsidP="00D9417F">
      <w:pPr>
        <w:pStyle w:val="EndNoteBibliography"/>
        <w:spacing w:after="0"/>
        <w:rPr>
          <w:rFonts w:ascii="Times New Roman" w:hAnsi="Times New Roman" w:cs="Times New Roman"/>
          <w:bCs/>
          <w:sz w:val="24"/>
          <w:szCs w:val="24"/>
          <w:lang w:val="es-CO"/>
        </w:rPr>
      </w:pPr>
      <w:r w:rsidRPr="005A1C60">
        <w:rPr>
          <w:rFonts w:ascii="Times New Roman" w:hAnsi="Times New Roman" w:cs="Times New Roman"/>
          <w:bCs/>
          <w:iCs/>
          <w:sz w:val="24"/>
          <w:szCs w:val="24"/>
          <w:lang w:val="es-CO"/>
        </w:rPr>
        <w:t>Montero de Daza, Judith; Mestra Narváez, Luis (2008)</w:t>
      </w:r>
      <w:r w:rsidRPr="005A1C60">
        <w:rPr>
          <w:rFonts w:ascii="Times New Roman" w:hAnsi="Times New Roman" w:cs="Times New Roman"/>
          <w:bCs/>
          <w:sz w:val="24"/>
          <w:szCs w:val="24"/>
          <w:lang w:val="es-CO"/>
        </w:rPr>
        <w:t>. “Los Wayúu, la Tierra y la Política del Carbón en la Guajira. 1980-2000: U na Visión desde la Historia p ara Reparar y no Repetir”. Palobra que obra. N°9.</w:t>
      </w:r>
      <w:r w:rsidRPr="005A1C60">
        <w:rPr>
          <w:rFonts w:ascii="Times New Roman" w:hAnsi="Times New Roman" w:cs="Times New Roman"/>
          <w:bCs/>
          <w:sz w:val="24"/>
          <w:szCs w:val="24"/>
          <w:lang w:val="es-ES"/>
        </w:rPr>
        <w:t xml:space="preserve"> págs. 145-162</w:t>
      </w:r>
    </w:p>
    <w:p w:rsidR="002540E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Paredes, J. (2010). </w:t>
      </w:r>
      <w:r w:rsidRPr="005A1C60">
        <w:rPr>
          <w:rFonts w:ascii="Times New Roman" w:hAnsi="Times New Roman" w:cs="Times New Roman"/>
          <w:i/>
          <w:sz w:val="24"/>
          <w:szCs w:val="24"/>
        </w:rPr>
        <w:t>Hilando fino desde el feminismo comunitario</w:t>
      </w:r>
      <w:r w:rsidRPr="005A1C60">
        <w:rPr>
          <w:rFonts w:ascii="Times New Roman" w:hAnsi="Times New Roman" w:cs="Times New Roman"/>
          <w:sz w:val="24"/>
          <w:szCs w:val="24"/>
        </w:rPr>
        <w:t>. La Paz, Bolivia: DED.</w:t>
      </w:r>
    </w:p>
    <w:p w:rsidR="002540EB" w:rsidRPr="005A1C60" w:rsidRDefault="002540EB" w:rsidP="00D9417F">
      <w:pPr>
        <w:pStyle w:val="EndNoteBibliography"/>
        <w:spacing w:after="0"/>
        <w:rPr>
          <w:rFonts w:ascii="Times New Roman" w:hAnsi="Times New Roman" w:cs="Times New Roman"/>
          <w:sz w:val="24"/>
          <w:szCs w:val="24"/>
        </w:rPr>
      </w:pPr>
    </w:p>
    <w:p w:rsidR="00925A0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Richard, N. (2009). La Critica feminista como modelo de crítica culturañ. </w:t>
      </w:r>
      <w:r w:rsidRPr="005A1C60">
        <w:rPr>
          <w:rFonts w:ascii="Times New Roman" w:hAnsi="Times New Roman" w:cs="Times New Roman"/>
          <w:i/>
          <w:sz w:val="24"/>
          <w:szCs w:val="24"/>
        </w:rPr>
        <w:t>Debate feminista, 40</w:t>
      </w:r>
      <w:r w:rsidRPr="005A1C60">
        <w:rPr>
          <w:rFonts w:ascii="Times New Roman" w:hAnsi="Times New Roman" w:cs="Times New Roman"/>
          <w:sz w:val="24"/>
          <w:szCs w:val="24"/>
        </w:rPr>
        <w:t xml:space="preserve">(20). </w:t>
      </w:r>
    </w:p>
    <w:p w:rsidR="00925A0B" w:rsidRPr="005A1C60" w:rsidRDefault="00925A0B" w:rsidP="00D9417F">
      <w:pPr>
        <w:jc w:val="both"/>
      </w:pPr>
      <w:r w:rsidRPr="005A1C60">
        <w:rPr>
          <w:lang w:val="es-CO" w:eastAsia="es-CO"/>
        </w:rPr>
        <w:lastRenderedPageBreak/>
        <w:t xml:space="preserve">Palacios A. (2012). Representaciones sociales de grupos culturales diversos: Una estrategia metodológica para su análisis. Universidad do Vale do Rio dos Sinos,  Brasil. </w:t>
      </w:r>
      <w:hyperlink r:id="rId12" w:history="1">
        <w:r w:rsidRPr="005A1C60">
          <w:rPr>
            <w:rStyle w:val="Hipervnculo"/>
            <w:color w:val="auto"/>
            <w:lang w:val="es-CO" w:eastAsia="es-CO"/>
          </w:rPr>
          <w:t>www.redalyc.org</w:t>
        </w:r>
      </w:hyperlink>
    </w:p>
    <w:p w:rsidR="00925A0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Segato, R. (2010). Género y colonialidad: en busca de lectura y de un vocabulario estratégico decolonial. In A. Quijano &amp; J. Mejía (Eds.), </w:t>
      </w:r>
      <w:r w:rsidRPr="005A1C60">
        <w:rPr>
          <w:rFonts w:ascii="Times New Roman" w:hAnsi="Times New Roman" w:cs="Times New Roman"/>
          <w:i/>
          <w:sz w:val="24"/>
          <w:szCs w:val="24"/>
        </w:rPr>
        <w:t>La cuestión decolonial</w:t>
      </w:r>
      <w:r w:rsidRPr="005A1C60">
        <w:rPr>
          <w:rFonts w:ascii="Times New Roman" w:hAnsi="Times New Roman" w:cs="Times New Roman"/>
          <w:sz w:val="24"/>
          <w:szCs w:val="24"/>
        </w:rPr>
        <w:t>. Lima: Universidad Ricardo Palma.</w:t>
      </w:r>
    </w:p>
    <w:p w:rsidR="004E2826" w:rsidRPr="005A1C60" w:rsidRDefault="00925A0B" w:rsidP="00D9417F">
      <w:pPr>
        <w:pStyle w:val="Ttulo1"/>
        <w:numPr>
          <w:ilvl w:val="0"/>
          <w:numId w:val="0"/>
        </w:numPr>
        <w:jc w:val="both"/>
        <w:rPr>
          <w:rFonts w:ascii="Times New Roman" w:hAnsi="Times New Roman"/>
          <w:b w:val="0"/>
          <w:color w:val="auto"/>
          <w:sz w:val="24"/>
          <w:szCs w:val="24"/>
        </w:rPr>
      </w:pPr>
      <w:r w:rsidRPr="005A1C60">
        <w:rPr>
          <w:rFonts w:ascii="Times New Roman" w:hAnsi="Times New Roman"/>
          <w:b w:val="0"/>
          <w:color w:val="auto"/>
          <w:sz w:val="24"/>
          <w:szCs w:val="24"/>
        </w:rPr>
        <w:t>Thompson, J.B.,  Ideología y cultura moderna, Universidad Autónoma Metropolitana, México, 1998.</w:t>
      </w:r>
    </w:p>
    <w:p w:rsidR="00925A0B" w:rsidRPr="005A1C60" w:rsidRDefault="004E2826" w:rsidP="00D9417F">
      <w:pPr>
        <w:pStyle w:val="EndNoteBibliography"/>
        <w:spacing w:after="0"/>
        <w:rPr>
          <w:rFonts w:ascii="Times New Roman" w:hAnsi="Times New Roman" w:cs="Times New Roman"/>
          <w:sz w:val="24"/>
          <w:szCs w:val="24"/>
          <w:lang w:val="es-CO"/>
        </w:rPr>
      </w:pPr>
      <w:r w:rsidRPr="005A1C60">
        <w:rPr>
          <w:rFonts w:ascii="Times New Roman" w:hAnsi="Times New Roman" w:cs="Times New Roman"/>
          <w:sz w:val="24"/>
          <w:szCs w:val="24"/>
          <w:lang w:val="es-CO"/>
        </w:rPr>
        <w:t xml:space="preserve">Velardi, Nicoletta; Zeisser, Marco (ed) (2012) </w:t>
      </w:r>
      <w:r w:rsidRPr="005A1C60">
        <w:rPr>
          <w:rFonts w:ascii="Times New Roman" w:hAnsi="Times New Roman" w:cs="Times New Roman"/>
          <w:i/>
          <w:sz w:val="24"/>
          <w:szCs w:val="24"/>
          <w:lang w:val="es-CO"/>
        </w:rPr>
        <w:t>Anales Seminario Internacional Desarrollo territorial y extractivismo: luchas y alternativas en la Región Andina.</w:t>
      </w:r>
      <w:r w:rsidRPr="005A1C60">
        <w:rPr>
          <w:rFonts w:ascii="Times New Roman" w:hAnsi="Times New Roman" w:cs="Times New Roman"/>
          <w:sz w:val="24"/>
          <w:szCs w:val="24"/>
          <w:lang w:val="es-CO"/>
        </w:rPr>
        <w:t xml:space="preserve"> Cusco: Centro de Estudios Regionales Andinos Bartolomé de Las Casas, CooperAcción, GRET</w:t>
      </w:r>
    </w:p>
    <w:p w:rsidR="002540EB" w:rsidRPr="005A1C60" w:rsidRDefault="002540EB" w:rsidP="00D9417F">
      <w:pPr>
        <w:pStyle w:val="EndNoteBibliography"/>
        <w:spacing w:after="0"/>
        <w:rPr>
          <w:rFonts w:ascii="Times New Roman" w:hAnsi="Times New Roman" w:cs="Times New Roman"/>
          <w:sz w:val="24"/>
          <w:szCs w:val="24"/>
        </w:rPr>
      </w:pPr>
      <w:r w:rsidRPr="005A1C60">
        <w:rPr>
          <w:rFonts w:ascii="Times New Roman" w:hAnsi="Times New Roman" w:cs="Times New Roman"/>
          <w:sz w:val="24"/>
          <w:szCs w:val="24"/>
        </w:rPr>
        <w:t xml:space="preserve">Viveros, M. (2009). La sexualización de la raza y la racialización de la sexualidad en el contexto latinoamericano actual. </w:t>
      </w:r>
      <w:r w:rsidRPr="005A1C60">
        <w:rPr>
          <w:rFonts w:ascii="Times New Roman" w:hAnsi="Times New Roman" w:cs="Times New Roman"/>
          <w:i/>
          <w:sz w:val="24"/>
          <w:szCs w:val="24"/>
        </w:rPr>
        <w:t>revista Latinoamericana de estudios de la Familia</w:t>
      </w:r>
      <w:r w:rsidRPr="005A1C60">
        <w:rPr>
          <w:rFonts w:ascii="Times New Roman" w:hAnsi="Times New Roman" w:cs="Times New Roman"/>
          <w:sz w:val="24"/>
          <w:szCs w:val="24"/>
        </w:rPr>
        <w:t xml:space="preserve">(1), 63-81. </w:t>
      </w:r>
    </w:p>
    <w:p w:rsidR="00925A0B" w:rsidRPr="005A1C60" w:rsidRDefault="00925A0B" w:rsidP="00D9417F">
      <w:pPr>
        <w:pStyle w:val="EndNoteBibliography"/>
        <w:spacing w:before="120" w:after="120"/>
        <w:rPr>
          <w:rFonts w:ascii="Times New Roman" w:hAnsi="Times New Roman" w:cs="Times New Roman"/>
          <w:sz w:val="24"/>
          <w:szCs w:val="24"/>
        </w:rPr>
      </w:pPr>
    </w:p>
    <w:p w:rsidR="00925A0B" w:rsidRPr="005A1C60" w:rsidRDefault="00925A0B" w:rsidP="00D9417F">
      <w:pPr>
        <w:pStyle w:val="EndNoteBibliography"/>
        <w:spacing w:before="120" w:after="120"/>
        <w:rPr>
          <w:rFonts w:ascii="Times New Roman" w:hAnsi="Times New Roman" w:cs="Times New Roman"/>
          <w:sz w:val="24"/>
          <w:szCs w:val="24"/>
        </w:rPr>
      </w:pPr>
    </w:p>
    <w:p w:rsidR="00925A0B" w:rsidRPr="005A1C60" w:rsidRDefault="00925A0B" w:rsidP="00D9417F">
      <w:pPr>
        <w:spacing w:before="120" w:after="120"/>
        <w:jc w:val="both"/>
        <w:rPr>
          <w:lang w:val="es-CO" w:eastAsia="es-CO"/>
        </w:rPr>
      </w:pPr>
    </w:p>
    <w:p w:rsidR="00CF0FEB" w:rsidRPr="005A1C60" w:rsidRDefault="00CF0FEB" w:rsidP="00D9417F">
      <w:pPr>
        <w:spacing w:before="120" w:after="120"/>
        <w:jc w:val="both"/>
        <w:outlineLvl w:val="0"/>
        <w:rPr>
          <w:bCs/>
          <w:color w:val="000000" w:themeColor="text1"/>
          <w:kern w:val="36"/>
          <w:lang w:val="es-CO" w:eastAsia="es-CO"/>
        </w:rPr>
      </w:pPr>
    </w:p>
    <w:p w:rsidR="00CF0FEB" w:rsidRPr="005A1C60" w:rsidRDefault="00CF0FEB" w:rsidP="00D9417F">
      <w:pPr>
        <w:widowControl w:val="0"/>
        <w:spacing w:before="120" w:after="120"/>
        <w:jc w:val="both"/>
        <w:rPr>
          <w:color w:val="000000" w:themeColor="text1"/>
          <w:lang w:val="es-CO"/>
        </w:rPr>
      </w:pPr>
    </w:p>
    <w:p w:rsidR="00CF0FEB" w:rsidRPr="005A1C60" w:rsidRDefault="00CF0FEB" w:rsidP="00D9417F">
      <w:pPr>
        <w:spacing w:before="120" w:after="120"/>
        <w:jc w:val="both"/>
        <w:outlineLvl w:val="0"/>
        <w:rPr>
          <w:bCs/>
          <w:color w:val="000000" w:themeColor="text1"/>
          <w:kern w:val="36"/>
          <w:lang w:val="es-CO" w:eastAsia="es-CO"/>
        </w:rPr>
      </w:pPr>
    </w:p>
    <w:p w:rsidR="00925A0B" w:rsidRPr="005A1C60" w:rsidRDefault="00925A0B" w:rsidP="00D9417F">
      <w:pPr>
        <w:pStyle w:val="EndNoteBibliography"/>
        <w:spacing w:before="120" w:after="120"/>
        <w:rPr>
          <w:rFonts w:ascii="Times New Roman" w:hAnsi="Times New Roman" w:cs="Times New Roman"/>
          <w:sz w:val="24"/>
          <w:szCs w:val="24"/>
        </w:rPr>
      </w:pPr>
    </w:p>
    <w:p w:rsidR="005C0C24" w:rsidRPr="005A1C60" w:rsidRDefault="0012714E" w:rsidP="00D9417F">
      <w:pPr>
        <w:spacing w:before="120" w:after="120"/>
        <w:jc w:val="both"/>
      </w:pPr>
      <w:r w:rsidRPr="005A1C60">
        <w:rPr>
          <w:lang w:val="es-CO"/>
        </w:rPr>
        <w:fldChar w:fldCharType="end"/>
      </w:r>
    </w:p>
    <w:sectPr w:rsidR="005C0C24" w:rsidRPr="005A1C60" w:rsidSect="003C2264">
      <w:pgSz w:w="12242" w:h="15842"/>
      <w:pgMar w:top="1701" w:right="1701" w:bottom="1701" w:left="1701" w:header="720" w:footer="720"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1217" w:rsidRDefault="009E1217" w:rsidP="00ED36A4">
      <w:r>
        <w:separator/>
      </w:r>
    </w:p>
  </w:endnote>
  <w:endnote w:type="continuationSeparator" w:id="1">
    <w:p w:rsidR="009E1217" w:rsidRDefault="009E1217" w:rsidP="00ED36A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Formata LightCondensed">
    <w:altName w:val="Arial"/>
    <w:charset w:val="00"/>
    <w:family w:val="swiss"/>
    <w:pitch w:val="variable"/>
    <w:sig w:usb0="00000000" w:usb1="00000000" w:usb2="00000000" w:usb3="00000000" w:csb0="0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E4E3E" w:rsidRDefault="0012714E">
    <w:pPr>
      <w:pStyle w:val="Piedepgina"/>
      <w:ind w:right="360"/>
    </w:pPr>
    <w:r w:rsidRPr="0012714E">
      <w:rPr>
        <w:noProof/>
        <w:lang w:val="es-CO" w:eastAsia="es-CO"/>
      </w:rPr>
      <w:pict>
        <v:rect id="Rectangle 1" o:spid="_x0000_s4097" style="position:absolute;margin-left:547.15pt;margin-top:710.5pt;width:44.55pt;height:15.1pt;rotation:11796470fd;flip:x;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" filled="f" stroked="f">
          <v:textbox inset=",0,,0">
            <w:txbxContent>
              <w:p w:rsidR="000E4E3E" w:rsidRDefault="0012714E">
                <w:pPr>
                  <w:pBdr>
                    <w:top w:val="single" w:sz="4" w:space="0" w:color="7F7F7F"/>
                  </w:pBdr>
                  <w:jc w:val="center"/>
                </w:pPr>
                <w:r>
                  <w:rPr>
                    <w:color w:val="C0504D"/>
                  </w:rPr>
                  <w:fldChar w:fldCharType="begin"/>
                </w:r>
                <w:r w:rsidR="000E4E3E">
                  <w:rPr>
                    <w:color w:val="C0504D"/>
                  </w:rPr>
                  <w:instrText xml:space="preserve"> PAGE </w:instrText>
                </w:r>
                <w:r>
                  <w:rPr>
                    <w:color w:val="C0504D"/>
                  </w:rPr>
                  <w:fldChar w:fldCharType="separate"/>
                </w:r>
                <w:r w:rsidR="00B43D98">
                  <w:rPr>
                    <w:noProof/>
                    <w:color w:val="C0504D"/>
                  </w:rPr>
                  <w:t>16</w:t>
                </w:r>
                <w:r>
                  <w:rPr>
                    <w:color w:val="C0504D"/>
                  </w:rPr>
                  <w:fldChar w:fldCharType="end"/>
                </w:r>
              </w:p>
            </w:txbxContent>
          </v:textbox>
          <w10:wrap anchorx="page"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1217" w:rsidRDefault="009E1217" w:rsidP="00ED36A4">
      <w:r w:rsidRPr="00ED36A4">
        <w:rPr>
          <w:color w:val="000000"/>
        </w:rPr>
        <w:separator/>
      </w:r>
    </w:p>
  </w:footnote>
  <w:footnote w:type="continuationSeparator" w:id="1">
    <w:p w:rsidR="009E1217" w:rsidRDefault="009E1217" w:rsidP="00ED36A4">
      <w:r>
        <w:continuationSeparator/>
      </w:r>
    </w:p>
  </w:footnote>
  <w:footnote w:id="2">
    <w:p w:rsidR="005A1C60" w:rsidRPr="005A1C60" w:rsidRDefault="005A1C60">
      <w:pPr>
        <w:pStyle w:val="Textonotapie"/>
        <w:rPr>
          <w:lang w:val="es-CO"/>
        </w:rPr>
      </w:pPr>
      <w:r>
        <w:rPr>
          <w:rStyle w:val="Refdenotaalpie"/>
        </w:rPr>
        <w:footnoteRef/>
      </w:r>
      <w:r>
        <w:t xml:space="preserve">Nos referimos a la “mujer wayúu” para referirnos al conjunto de atributos, características y prácticas que se le adjudican a </w:t>
      </w:r>
      <w:r w:rsidR="008B7F84">
        <w:t>las mujeres wayúu, como si se tratase de una identidad única.</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25A0B" w:rsidRDefault="00925A0B">
    <w:pPr>
      <w:pStyle w:val="Encabezado"/>
    </w:pPr>
    <w:r w:rsidRPr="00B01376">
      <w:rPr>
        <w:noProof/>
      </w:rPr>
      <w:drawing>
        <wp:anchor distT="0" distB="0" distL="114300" distR="114300" simplePos="0" relativeHeight="251659776" behindDoc="1" locked="0" layoutInCell="1" allowOverlap="1">
          <wp:simplePos x="0" y="0"/>
          <wp:positionH relativeFrom="column">
            <wp:posOffset>802005</wp:posOffset>
          </wp:positionH>
          <wp:positionV relativeFrom="paragraph">
            <wp:posOffset>-104775</wp:posOffset>
          </wp:positionV>
          <wp:extent cx="3733165" cy="387985"/>
          <wp:effectExtent l="19050" t="0" r="635" b="0"/>
          <wp:wrapTight wrapText="bothSides">
            <wp:wrapPolygon edited="0">
              <wp:start x="-110" y="0"/>
              <wp:lineTo x="-110" y="20151"/>
              <wp:lineTo x="21604" y="20151"/>
              <wp:lineTo x="21604" y="0"/>
              <wp:lineTo x="-110" y="0"/>
            </wp:wrapPolygon>
          </wp:wrapTight>
          <wp:docPr id="1" name="Imagen 1" descr="Logo U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USTA"/>
                  <pic:cNvPicPr>
                    <a:picLocks noChangeAspect="1" noChangeArrowheads="1"/>
                  </pic:cNvPicPr>
                </pic:nvPicPr>
                <pic:blipFill>
                  <a:blip r:embed="rId1"/>
                  <a:srcRect/>
                  <a:stretch>
                    <a:fillRect/>
                  </a:stretch>
                </pic:blipFill>
                <pic:spPr bwMode="auto">
                  <a:xfrm>
                    <a:off x="0" y="0"/>
                    <a:ext cx="3733165" cy="387985"/>
                  </a:xfrm>
                  <a:prstGeom prst="rect">
                    <a:avLst/>
                  </a:prstGeom>
                  <a:noFill/>
                  <a:ln w="9525">
                    <a:noFill/>
                    <a:miter lim="800000"/>
                    <a:headEnd/>
                    <a:tailEnd/>
                  </a:ln>
                </pic:spPr>
              </pic:pic>
            </a:graphicData>
          </a:graphic>
        </wp:anchor>
      </w:drawing>
    </w:r>
  </w:p>
  <w:p w:rsidR="00925A0B" w:rsidRDefault="00925A0B">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264" w:rsidRDefault="003C2264">
    <w:pPr>
      <w:pStyle w:val="Encabezado"/>
    </w:pPr>
    <w:r w:rsidRPr="003C2264">
      <w:rPr>
        <w:noProof/>
      </w:rPr>
      <w:drawing>
        <wp:inline distT="0" distB="0" distL="0" distR="0">
          <wp:extent cx="5043398" cy="549832"/>
          <wp:effectExtent l="19050" t="0" r="4852" b="0"/>
          <wp:docPr id="3" name="Imagen 1" descr="D:\Mis documentos\Descargas\LOGO USTA UNID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Mis documentos\Descargas\LOGO USTA UNIDAD.jpg"/>
                  <pic:cNvPicPr>
                    <a:picLocks noChangeAspect="1" noChangeArrowheads="1"/>
                  </pic:cNvPicPr>
                </pic:nvPicPr>
                <pic:blipFill>
                  <a:blip r:embed="rId1"/>
                  <a:srcRect b="20039"/>
                  <a:stretch>
                    <a:fillRect/>
                  </a:stretch>
                </pic:blipFill>
                <pic:spPr bwMode="auto">
                  <a:xfrm>
                    <a:off x="0" y="0"/>
                    <a:ext cx="5043398" cy="549832"/>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82381"/>
    <w:multiLevelType w:val="multilevel"/>
    <w:tmpl w:val="ABB4868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1DA480A"/>
    <w:multiLevelType w:val="hybridMultilevel"/>
    <w:tmpl w:val="D2CA232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02ED5B8C"/>
    <w:multiLevelType w:val="multilevel"/>
    <w:tmpl w:val="C27A32E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E8C33D5"/>
    <w:multiLevelType w:val="multilevel"/>
    <w:tmpl w:val="44A02F64"/>
    <w:lvl w:ilvl="0">
      <w:start w:val="4"/>
      <w:numFmt w:val="decimal"/>
      <w:lvlText w:val="%1"/>
      <w:lvlJc w:val="left"/>
      <w:pPr>
        <w:ind w:left="360" w:hanging="360"/>
      </w:pPr>
    </w:lvl>
    <w:lvl w:ilvl="1">
      <w:start w:val="2"/>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4">
    <w:nsid w:val="0F920C77"/>
    <w:multiLevelType w:val="hybridMultilevel"/>
    <w:tmpl w:val="6C86F17C"/>
    <w:lvl w:ilvl="0" w:tplc="240A0001">
      <w:start w:val="1"/>
      <w:numFmt w:val="bullet"/>
      <w:lvlText w:val=""/>
      <w:lvlJc w:val="left"/>
      <w:pPr>
        <w:ind w:left="720" w:hanging="360"/>
      </w:pPr>
      <w:rPr>
        <w:rFonts w:ascii="Symbol" w:hAnsi="Symbol"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19E1516"/>
    <w:multiLevelType w:val="multilevel"/>
    <w:tmpl w:val="5BA2DE98"/>
    <w:lvl w:ilvl="0">
      <w:start w:val="1"/>
      <w:numFmt w:val="decimal"/>
      <w:lvlText w:val="%1."/>
      <w:lvlJc w:val="left"/>
      <w:pPr>
        <w:ind w:left="360" w:hanging="360"/>
      </w:pPr>
      <w:rPr>
        <w:b w:val="0"/>
        <w:sz w:val="22"/>
        <w:szCs w:val="22"/>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
    <w:nsid w:val="190F19E0"/>
    <w:multiLevelType w:val="multilevel"/>
    <w:tmpl w:val="BF40AF76"/>
    <w:lvl w:ilvl="0">
      <w:start w:val="1"/>
      <w:numFmt w:val="lowerLetter"/>
      <w:lvlText w:val="%1."/>
      <w:lvlJc w:val="left"/>
      <w:pPr>
        <w:ind w:left="720" w:hanging="360"/>
      </w:p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219F7A18"/>
    <w:multiLevelType w:val="hybridMultilevel"/>
    <w:tmpl w:val="2286CBA4"/>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23762D13"/>
    <w:multiLevelType w:val="hybridMultilevel"/>
    <w:tmpl w:val="BBB47112"/>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9">
    <w:nsid w:val="27104B47"/>
    <w:multiLevelType w:val="hybridMultilevel"/>
    <w:tmpl w:val="F1BC6F3C"/>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nsid w:val="3A67442D"/>
    <w:multiLevelType w:val="hybridMultilevel"/>
    <w:tmpl w:val="19682740"/>
    <w:lvl w:ilvl="0" w:tplc="0D480438">
      <w:start w:val="1"/>
      <w:numFmt w:val="decimal"/>
      <w:lvlText w:val="%1."/>
      <w:lvlJc w:val="left"/>
      <w:pPr>
        <w:ind w:left="360" w:hanging="360"/>
      </w:pPr>
      <w:rPr>
        <w:rFonts w:ascii="Times New Roman" w:eastAsia="Times New Roman" w:hAnsi="Times New Roman" w:cs="Times New Roman"/>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B5B4DE5"/>
    <w:multiLevelType w:val="multilevel"/>
    <w:tmpl w:val="FC922FB6"/>
    <w:lvl w:ilvl="0">
      <w:numFmt w:val="bullet"/>
      <w:lvlText w:val=""/>
      <w:lvlJc w:val="left"/>
      <w:pPr>
        <w:ind w:left="1068" w:hanging="360"/>
      </w:pPr>
      <w:rPr>
        <w:rFonts w:ascii="Wingdings" w:hAnsi="Wingdings"/>
        <w:color w:val="auto"/>
      </w:rPr>
    </w:lvl>
    <w:lvl w:ilvl="1">
      <w:numFmt w:val="bullet"/>
      <w:lvlText w:val="o"/>
      <w:lvlJc w:val="left"/>
      <w:pPr>
        <w:ind w:left="1788" w:hanging="360"/>
      </w:pPr>
      <w:rPr>
        <w:rFonts w:ascii="Courier New" w:hAnsi="Courier New" w:cs="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cs="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cs="Courier New"/>
      </w:rPr>
    </w:lvl>
    <w:lvl w:ilvl="8">
      <w:numFmt w:val="bullet"/>
      <w:lvlText w:val=""/>
      <w:lvlJc w:val="left"/>
      <w:pPr>
        <w:ind w:left="6828" w:hanging="360"/>
      </w:pPr>
      <w:rPr>
        <w:rFonts w:ascii="Wingdings" w:hAnsi="Wingdings"/>
      </w:rPr>
    </w:lvl>
  </w:abstractNum>
  <w:abstractNum w:abstractNumId="12">
    <w:nsid w:val="3BDD56C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F3C3504"/>
    <w:multiLevelType w:val="hybridMultilevel"/>
    <w:tmpl w:val="2F3EB144"/>
    <w:lvl w:ilvl="0" w:tplc="0C0A0001">
      <w:start w:val="1"/>
      <w:numFmt w:val="bullet"/>
      <w:lvlText w:val=""/>
      <w:lvlJc w:val="left"/>
      <w:pPr>
        <w:ind w:left="360" w:hanging="360"/>
      </w:pPr>
      <w:rPr>
        <w:rFonts w:ascii="Symbol" w:hAnsi="Symbol"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FD343FE"/>
    <w:multiLevelType w:val="hybridMultilevel"/>
    <w:tmpl w:val="33222E4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nsid w:val="449F3EB0"/>
    <w:multiLevelType w:val="hybridMultilevel"/>
    <w:tmpl w:val="5720C3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4DF6B16"/>
    <w:multiLevelType w:val="hybridMultilevel"/>
    <w:tmpl w:val="F18621CA"/>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AC235AA"/>
    <w:multiLevelType w:val="hybridMultilevel"/>
    <w:tmpl w:val="E1BC952C"/>
    <w:lvl w:ilvl="0" w:tplc="0C0A000D">
      <w:start w:val="1"/>
      <w:numFmt w:val="bullet"/>
      <w:lvlText w:val=""/>
      <w:lvlJc w:val="left"/>
      <w:pPr>
        <w:ind w:left="360" w:hanging="360"/>
      </w:pPr>
      <w:rPr>
        <w:rFonts w:ascii="Wingdings" w:hAnsi="Wingding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4CE776E8"/>
    <w:multiLevelType w:val="hybridMultilevel"/>
    <w:tmpl w:val="EF6A4EEA"/>
    <w:lvl w:ilvl="0" w:tplc="080A000F">
      <w:start w:val="1"/>
      <w:numFmt w:val="decimal"/>
      <w:lvlText w:val="%1."/>
      <w:lvlJc w:val="left"/>
      <w:pPr>
        <w:ind w:left="644" w:hanging="360"/>
      </w:pPr>
      <w:rPr>
        <w:rFonts w:hint="default"/>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19">
    <w:nsid w:val="4E9A2FBD"/>
    <w:multiLevelType w:val="hybridMultilevel"/>
    <w:tmpl w:val="160E6FC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4727275"/>
    <w:multiLevelType w:val="hybridMultilevel"/>
    <w:tmpl w:val="17C2DF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572A2F31"/>
    <w:multiLevelType w:val="multilevel"/>
    <w:tmpl w:val="2E1428A0"/>
    <w:lvl w:ilvl="0">
      <w:start w:val="1"/>
      <w:numFmt w:val="decimal"/>
      <w:lvlText w:val="%1"/>
      <w:lvlJc w:val="left"/>
      <w:pPr>
        <w:ind w:left="360" w:hanging="360"/>
      </w:pPr>
    </w:lvl>
    <w:lvl w:ilvl="1">
      <w:start w:val="9"/>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22">
    <w:nsid w:val="59BD7FCF"/>
    <w:multiLevelType w:val="multilevel"/>
    <w:tmpl w:val="DF64878C"/>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3">
    <w:nsid w:val="5C9207A1"/>
    <w:multiLevelType w:val="multilevel"/>
    <w:tmpl w:val="9F46A7CE"/>
    <w:lvl w:ilvl="0">
      <w:start w:val="2"/>
      <w:numFmt w:val="decimal"/>
      <w:lvlText w:val="%1"/>
      <w:lvlJc w:val="left"/>
      <w:pPr>
        <w:ind w:left="435" w:hanging="435"/>
      </w:pPr>
      <w:rPr>
        <w:b/>
      </w:rPr>
    </w:lvl>
    <w:lvl w:ilvl="1">
      <w:start w:val="5"/>
      <w:numFmt w:val="decimal"/>
      <w:lvlText w:val="%1.%2"/>
      <w:lvlJc w:val="left"/>
      <w:pPr>
        <w:ind w:left="435" w:hanging="435"/>
      </w:pPr>
      <w:rPr>
        <w:b/>
      </w:rPr>
    </w:lvl>
    <w:lvl w:ilvl="2">
      <w:start w:val="2"/>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24">
    <w:nsid w:val="61D2009E"/>
    <w:multiLevelType w:val="multilevel"/>
    <w:tmpl w:val="C4C415A2"/>
    <w:lvl w:ilvl="0">
      <w:start w:val="1"/>
      <w:numFmt w:val="lowerLetter"/>
      <w:lvlText w:val="%1."/>
      <w:lvlJc w:val="left"/>
      <w:pPr>
        <w:ind w:left="1440" w:hanging="360"/>
      </w:pPr>
    </w:lvl>
    <w:lvl w:ilvl="1">
      <w:numFmt w:val="bullet"/>
      <w:lvlText w:val="-"/>
      <w:lvlJc w:val="left"/>
      <w:pPr>
        <w:ind w:left="1440" w:hanging="360"/>
      </w:pPr>
      <w:rPr>
        <w:rFonts w:ascii="Arial" w:eastAsia="Times New Roman" w:hAnsi="Arial" w:cs="Aria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
    <w:nsid w:val="640C7EE2"/>
    <w:multiLevelType w:val="multilevel"/>
    <w:tmpl w:val="F03CEE94"/>
    <w:styleLink w:val="WWOutlineListStyle"/>
    <w:lvl w:ilvl="0">
      <w:start w:val="1"/>
      <w:numFmt w:val="upperRoman"/>
      <w:pStyle w:val="Ttulo1"/>
      <w:lvlText w:val="%1."/>
      <w:lvlJc w:val="left"/>
    </w:lvl>
    <w:lvl w:ilvl="1">
      <w:start w:val="1"/>
      <w:numFmt w:val="decimal"/>
      <w:pStyle w:val="Ttulo2"/>
      <w:lvlText w:val="%2."/>
      <w:lvlJc w:val="left"/>
      <w:pPr>
        <w:ind w:left="720" w:firstLine="0"/>
      </w:pPr>
    </w:lvl>
    <w:lvl w:ilvl="2">
      <w:start w:val="1"/>
      <w:numFmt w:val="decimal"/>
      <w:pStyle w:val="Ttulo3"/>
      <w:lvlText w:val="%1.%2.%3"/>
      <w:lvlJc w:val="left"/>
      <w:pPr>
        <w:ind w:left="1440" w:firstLine="0"/>
      </w:pPr>
    </w:lvl>
    <w:lvl w:ilvl="3">
      <w:start w:val="1"/>
      <w:numFmt w:val="lowerLetter"/>
      <w:pStyle w:val="Ttulo4"/>
      <w:lvlText w:val="%4)"/>
      <w:lvlJc w:val="left"/>
      <w:pPr>
        <w:ind w:left="2160" w:firstLine="0"/>
      </w:pPr>
    </w:lvl>
    <w:lvl w:ilvl="4">
      <w:start w:val="1"/>
      <w:numFmt w:val="decimal"/>
      <w:pStyle w:val="Ttulo5"/>
      <w:lvlText w:val="(%5)"/>
      <w:lvlJc w:val="left"/>
      <w:pPr>
        <w:ind w:left="2880" w:firstLine="0"/>
      </w:pPr>
    </w:lvl>
    <w:lvl w:ilvl="5">
      <w:start w:val="1"/>
      <w:numFmt w:val="lowerLetter"/>
      <w:pStyle w:val="Ttulo6"/>
      <w:lvlText w:val="(%6)"/>
      <w:lvlJc w:val="left"/>
      <w:pPr>
        <w:ind w:left="3600" w:firstLine="0"/>
      </w:pPr>
    </w:lvl>
    <w:lvl w:ilvl="6">
      <w:start w:val="1"/>
      <w:numFmt w:val="lowerRoman"/>
      <w:pStyle w:val="Ttulo7"/>
      <w:lvlText w:val="(%7)"/>
      <w:lvlJc w:val="left"/>
      <w:pPr>
        <w:ind w:left="4320" w:firstLine="0"/>
      </w:pPr>
    </w:lvl>
    <w:lvl w:ilvl="7">
      <w:start w:val="1"/>
      <w:numFmt w:val="lowerLetter"/>
      <w:pStyle w:val="Ttulo8"/>
      <w:lvlText w:val="(%8)"/>
      <w:lvlJc w:val="left"/>
      <w:pPr>
        <w:ind w:left="5040" w:firstLine="0"/>
      </w:pPr>
    </w:lvl>
    <w:lvl w:ilvl="8">
      <w:start w:val="1"/>
      <w:numFmt w:val="lowerRoman"/>
      <w:pStyle w:val="Ttulo9"/>
      <w:lvlText w:val="(%9)"/>
      <w:lvlJc w:val="left"/>
      <w:pPr>
        <w:ind w:left="5760" w:firstLine="0"/>
      </w:pPr>
    </w:lvl>
  </w:abstractNum>
  <w:abstractNum w:abstractNumId="26">
    <w:nsid w:val="68014A7D"/>
    <w:multiLevelType w:val="multilevel"/>
    <w:tmpl w:val="E4705B96"/>
    <w:lvl w:ilvl="0">
      <w:start w:val="1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693B5374"/>
    <w:multiLevelType w:val="hybridMultilevel"/>
    <w:tmpl w:val="649627D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BFD0F5C"/>
    <w:multiLevelType w:val="hybridMultilevel"/>
    <w:tmpl w:val="393E78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nsid w:val="76AC041F"/>
    <w:multiLevelType w:val="multilevel"/>
    <w:tmpl w:val="6E74C46A"/>
    <w:lvl w:ilvl="0">
      <w:start w:val="1"/>
      <w:numFmt w:val="lowerLetter"/>
      <w:lvlText w:val="%1."/>
      <w:lvlJc w:val="left"/>
      <w:pPr>
        <w:ind w:left="720" w:hanging="360"/>
      </w:pPr>
      <w:rPr>
        <w:b/>
      </w:rPr>
    </w:lvl>
    <w:lvl w:ilvl="1">
      <w:numFmt w:val="bullet"/>
      <w:lvlText w:val=""/>
      <w:lvlJc w:val="left"/>
      <w:pPr>
        <w:ind w:left="1440" w:hanging="360"/>
      </w:pPr>
      <w:rPr>
        <w:rFonts w:ascii="Symbol" w:hAnsi="Symbol"/>
        <w:b/>
      </w:rPr>
    </w:lvl>
    <w:lvl w:ilvl="2">
      <w:start w:val="1"/>
      <w:numFmt w:val="lowerRoman"/>
      <w:lvlText w:val="%3."/>
      <w:lvlJc w:val="right"/>
      <w:pPr>
        <w:ind w:left="2160" w:hanging="180"/>
      </w:pPr>
    </w:lvl>
    <w:lvl w:ilvl="3">
      <w:start w:val="5"/>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6FC7099"/>
    <w:multiLevelType w:val="hybridMultilevel"/>
    <w:tmpl w:val="0150999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nsid w:val="782C735F"/>
    <w:multiLevelType w:val="multilevel"/>
    <w:tmpl w:val="B6BCB9EA"/>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25"/>
  </w:num>
  <w:num w:numId="2">
    <w:abstractNumId w:val="5"/>
  </w:num>
  <w:num w:numId="3">
    <w:abstractNumId w:val="31"/>
  </w:num>
  <w:num w:numId="4">
    <w:abstractNumId w:val="29"/>
  </w:num>
  <w:num w:numId="5">
    <w:abstractNumId w:val="24"/>
  </w:num>
  <w:num w:numId="6">
    <w:abstractNumId w:val="6"/>
  </w:num>
  <w:num w:numId="7">
    <w:abstractNumId w:val="21"/>
  </w:num>
  <w:num w:numId="8">
    <w:abstractNumId w:val="0"/>
  </w:num>
  <w:num w:numId="9">
    <w:abstractNumId w:val="23"/>
  </w:num>
  <w:num w:numId="10">
    <w:abstractNumId w:val="2"/>
  </w:num>
  <w:num w:numId="11">
    <w:abstractNumId w:val="22"/>
  </w:num>
  <w:num w:numId="12">
    <w:abstractNumId w:val="11"/>
  </w:num>
  <w:num w:numId="13">
    <w:abstractNumId w:val="26"/>
  </w:num>
  <w:num w:numId="14">
    <w:abstractNumId w:val="3"/>
  </w:num>
  <w:num w:numId="15">
    <w:abstractNumId w:val="12"/>
  </w:num>
  <w:num w:numId="16">
    <w:abstractNumId w:val="19"/>
  </w:num>
  <w:num w:numId="17">
    <w:abstractNumId w:val="17"/>
  </w:num>
  <w:num w:numId="18">
    <w:abstractNumId w:val="9"/>
  </w:num>
  <w:num w:numId="19">
    <w:abstractNumId w:val="16"/>
  </w:num>
  <w:num w:numId="20">
    <w:abstractNumId w:val="28"/>
  </w:num>
  <w:num w:numId="21">
    <w:abstractNumId w:val="20"/>
  </w:num>
  <w:num w:numId="22">
    <w:abstractNumId w:val="13"/>
  </w:num>
  <w:num w:numId="23">
    <w:abstractNumId w:val="10"/>
  </w:num>
  <w:num w:numId="24">
    <w:abstractNumId w:val="4"/>
  </w:num>
  <w:num w:numId="25">
    <w:abstractNumId w:val="14"/>
  </w:num>
  <w:num w:numId="26">
    <w:abstractNumId w:val="18"/>
  </w:num>
  <w:num w:numId="27">
    <w:abstractNumId w:val="30"/>
  </w:num>
  <w:num w:numId="28">
    <w:abstractNumId w:val="1"/>
  </w:num>
  <w:num w:numId="29">
    <w:abstractNumId w:val="7"/>
  </w:num>
  <w:num w:numId="30">
    <w:abstractNumId w:val="27"/>
  </w:num>
  <w:num w:numId="31">
    <w:abstractNumId w:val="15"/>
  </w:num>
  <w:num w:numId="32">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autoHyphenation/>
  <w:hyphenationZone w:val="425"/>
  <w:drawingGridHorizontalSpacing w:val="120"/>
  <w:displayHorizontalDrawingGridEvery w:val="2"/>
  <w:characterSpacingControl w:val="doNotCompress"/>
  <w:hdrShapeDefaults>
    <o:shapedefaults v:ext="edit" spidmax="5122"/>
    <o:shapelayout v:ext="edit">
      <o:idmap v:ext="edit" data="4"/>
    </o:shapelayout>
  </w:hdrShapeDefaults>
  <w:footnotePr>
    <w:footnote w:id="0"/>
    <w:footnote w:id="1"/>
  </w:footnotePr>
  <w:endnotePr>
    <w:endnote w:id="0"/>
    <w:endnote w:id="1"/>
  </w:endnotePr>
  <w:compat/>
  <w:rsids>
    <w:rsidRoot w:val="00ED36A4"/>
    <w:rsid w:val="00015ECC"/>
    <w:rsid w:val="00017AAB"/>
    <w:rsid w:val="00020707"/>
    <w:rsid w:val="00037100"/>
    <w:rsid w:val="000532A8"/>
    <w:rsid w:val="00060D6E"/>
    <w:rsid w:val="000A7617"/>
    <w:rsid w:val="000C1DE0"/>
    <w:rsid w:val="000C2F2A"/>
    <w:rsid w:val="000D67FC"/>
    <w:rsid w:val="000E4A9B"/>
    <w:rsid w:val="000E4E3E"/>
    <w:rsid w:val="000F00A1"/>
    <w:rsid w:val="0012714E"/>
    <w:rsid w:val="00132EA0"/>
    <w:rsid w:val="00154A9C"/>
    <w:rsid w:val="00164962"/>
    <w:rsid w:val="001C2E1C"/>
    <w:rsid w:val="001D7065"/>
    <w:rsid w:val="001F7594"/>
    <w:rsid w:val="00202268"/>
    <w:rsid w:val="00232599"/>
    <w:rsid w:val="002540E5"/>
    <w:rsid w:val="002540EB"/>
    <w:rsid w:val="00262470"/>
    <w:rsid w:val="00264197"/>
    <w:rsid w:val="002719AD"/>
    <w:rsid w:val="00293A45"/>
    <w:rsid w:val="002C440E"/>
    <w:rsid w:val="003256A2"/>
    <w:rsid w:val="00346657"/>
    <w:rsid w:val="00352350"/>
    <w:rsid w:val="0035295C"/>
    <w:rsid w:val="00355392"/>
    <w:rsid w:val="00357A2C"/>
    <w:rsid w:val="003A4399"/>
    <w:rsid w:val="003B1E4B"/>
    <w:rsid w:val="003B76A1"/>
    <w:rsid w:val="003B7C08"/>
    <w:rsid w:val="003C2264"/>
    <w:rsid w:val="003E735A"/>
    <w:rsid w:val="003F61E5"/>
    <w:rsid w:val="00415F1D"/>
    <w:rsid w:val="00443865"/>
    <w:rsid w:val="00457C17"/>
    <w:rsid w:val="004772F3"/>
    <w:rsid w:val="004C5258"/>
    <w:rsid w:val="004D6344"/>
    <w:rsid w:val="004E157D"/>
    <w:rsid w:val="004E2826"/>
    <w:rsid w:val="004E4032"/>
    <w:rsid w:val="004E589B"/>
    <w:rsid w:val="004F6936"/>
    <w:rsid w:val="00530EB0"/>
    <w:rsid w:val="00531312"/>
    <w:rsid w:val="00536335"/>
    <w:rsid w:val="00565F0A"/>
    <w:rsid w:val="00572F3A"/>
    <w:rsid w:val="005A1C60"/>
    <w:rsid w:val="005A7B80"/>
    <w:rsid w:val="005C0C24"/>
    <w:rsid w:val="005C5D4C"/>
    <w:rsid w:val="005D2040"/>
    <w:rsid w:val="005E6EDD"/>
    <w:rsid w:val="005F393F"/>
    <w:rsid w:val="00600BDC"/>
    <w:rsid w:val="0061573B"/>
    <w:rsid w:val="00623396"/>
    <w:rsid w:val="00652EDF"/>
    <w:rsid w:val="006656A5"/>
    <w:rsid w:val="00672762"/>
    <w:rsid w:val="00695B1F"/>
    <w:rsid w:val="006E41A7"/>
    <w:rsid w:val="00710449"/>
    <w:rsid w:val="007340C1"/>
    <w:rsid w:val="00756714"/>
    <w:rsid w:val="0076418F"/>
    <w:rsid w:val="007645AB"/>
    <w:rsid w:val="00766987"/>
    <w:rsid w:val="00774B26"/>
    <w:rsid w:val="00776E9D"/>
    <w:rsid w:val="0078048B"/>
    <w:rsid w:val="007A33B9"/>
    <w:rsid w:val="007C4A39"/>
    <w:rsid w:val="007C4D88"/>
    <w:rsid w:val="007C7752"/>
    <w:rsid w:val="00823DC9"/>
    <w:rsid w:val="00826309"/>
    <w:rsid w:val="00855D08"/>
    <w:rsid w:val="00860D05"/>
    <w:rsid w:val="008918B3"/>
    <w:rsid w:val="00891D92"/>
    <w:rsid w:val="0089760C"/>
    <w:rsid w:val="008B5D55"/>
    <w:rsid w:val="008B7F84"/>
    <w:rsid w:val="008D443E"/>
    <w:rsid w:val="008F6139"/>
    <w:rsid w:val="009006FC"/>
    <w:rsid w:val="00924FC4"/>
    <w:rsid w:val="00925A0B"/>
    <w:rsid w:val="0092656D"/>
    <w:rsid w:val="0093488C"/>
    <w:rsid w:val="009364A6"/>
    <w:rsid w:val="00951579"/>
    <w:rsid w:val="009669C9"/>
    <w:rsid w:val="009709A2"/>
    <w:rsid w:val="00971F51"/>
    <w:rsid w:val="00974B3C"/>
    <w:rsid w:val="00984C81"/>
    <w:rsid w:val="00990DDA"/>
    <w:rsid w:val="009E1217"/>
    <w:rsid w:val="009E56FF"/>
    <w:rsid w:val="009F3766"/>
    <w:rsid w:val="009F53E2"/>
    <w:rsid w:val="00A00FF5"/>
    <w:rsid w:val="00A2364C"/>
    <w:rsid w:val="00A26A00"/>
    <w:rsid w:val="00A40A2E"/>
    <w:rsid w:val="00A44B39"/>
    <w:rsid w:val="00A50820"/>
    <w:rsid w:val="00A61484"/>
    <w:rsid w:val="00A63683"/>
    <w:rsid w:val="00A70DDA"/>
    <w:rsid w:val="00AB0B16"/>
    <w:rsid w:val="00AB680A"/>
    <w:rsid w:val="00AF5F76"/>
    <w:rsid w:val="00B02A0F"/>
    <w:rsid w:val="00B11A9B"/>
    <w:rsid w:val="00B16EB8"/>
    <w:rsid w:val="00B27224"/>
    <w:rsid w:val="00B30385"/>
    <w:rsid w:val="00B329E3"/>
    <w:rsid w:val="00B32F1D"/>
    <w:rsid w:val="00B352C6"/>
    <w:rsid w:val="00B35410"/>
    <w:rsid w:val="00B43D98"/>
    <w:rsid w:val="00BA2906"/>
    <w:rsid w:val="00BA3A7D"/>
    <w:rsid w:val="00BA6E37"/>
    <w:rsid w:val="00BD6B8B"/>
    <w:rsid w:val="00BE03BC"/>
    <w:rsid w:val="00C1138A"/>
    <w:rsid w:val="00C15A09"/>
    <w:rsid w:val="00C258A2"/>
    <w:rsid w:val="00C305FB"/>
    <w:rsid w:val="00C31AFF"/>
    <w:rsid w:val="00C46AEF"/>
    <w:rsid w:val="00C50705"/>
    <w:rsid w:val="00C55999"/>
    <w:rsid w:val="00C6011A"/>
    <w:rsid w:val="00C811CE"/>
    <w:rsid w:val="00C90989"/>
    <w:rsid w:val="00C90C0E"/>
    <w:rsid w:val="00CD1FBE"/>
    <w:rsid w:val="00CF0FEB"/>
    <w:rsid w:val="00CF379B"/>
    <w:rsid w:val="00D05681"/>
    <w:rsid w:val="00D31DFF"/>
    <w:rsid w:val="00D35568"/>
    <w:rsid w:val="00D43ED7"/>
    <w:rsid w:val="00D43FA4"/>
    <w:rsid w:val="00D558B4"/>
    <w:rsid w:val="00D62C86"/>
    <w:rsid w:val="00D679DB"/>
    <w:rsid w:val="00D74888"/>
    <w:rsid w:val="00D83EB5"/>
    <w:rsid w:val="00D858B7"/>
    <w:rsid w:val="00D9417F"/>
    <w:rsid w:val="00DC7981"/>
    <w:rsid w:val="00DD0A25"/>
    <w:rsid w:val="00DD716C"/>
    <w:rsid w:val="00DD7A1A"/>
    <w:rsid w:val="00DE7FE2"/>
    <w:rsid w:val="00E07766"/>
    <w:rsid w:val="00E167DB"/>
    <w:rsid w:val="00E75F50"/>
    <w:rsid w:val="00E83214"/>
    <w:rsid w:val="00EB0F59"/>
    <w:rsid w:val="00EC03C0"/>
    <w:rsid w:val="00ED36A4"/>
    <w:rsid w:val="00EE503A"/>
    <w:rsid w:val="00F02A8A"/>
    <w:rsid w:val="00F11782"/>
    <w:rsid w:val="00F53212"/>
    <w:rsid w:val="00F5765F"/>
    <w:rsid w:val="00FA265F"/>
    <w:rsid w:val="00FE371C"/>
    <w:rsid w:val="00FE5AE5"/>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uiPriority w:val="99"/>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link w:val="PiedepginaCar"/>
    <w:uiPriority w:val="99"/>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link w:val="EncabezadoCar"/>
    <w:uiPriority w:val="99"/>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EndNoteBibliography">
    <w:name w:val="EndNote Bibliography"/>
    <w:basedOn w:val="Normal"/>
    <w:link w:val="EndNoteBibliographyCar"/>
    <w:rsid w:val="002540EB"/>
    <w:pPr>
      <w:suppressAutoHyphens w:val="0"/>
      <w:autoSpaceDN/>
      <w:spacing w:after="200"/>
      <w:textAlignment w:val="auto"/>
    </w:pPr>
    <w:rPr>
      <w:rFonts w:ascii="Calibri" w:eastAsiaTheme="minorHAnsi" w:hAnsi="Calibri" w:cstheme="minorBidi"/>
      <w:noProof/>
      <w:sz w:val="22"/>
      <w:szCs w:val="22"/>
      <w:lang w:val="en-US" w:eastAsia="en-US"/>
    </w:rPr>
  </w:style>
  <w:style w:type="character" w:customStyle="1" w:styleId="EndNoteBibliographyCar">
    <w:name w:val="EndNote Bibliography Car"/>
    <w:basedOn w:val="Fuentedeprrafopredeter"/>
    <w:link w:val="EndNoteBibliography"/>
    <w:rsid w:val="002540EB"/>
    <w:rPr>
      <w:rFonts w:ascii="Calibri" w:eastAsiaTheme="minorHAnsi" w:hAnsi="Calibri" w:cstheme="minorBidi"/>
      <w:noProof/>
      <w:sz w:val="22"/>
      <w:szCs w:val="22"/>
      <w:lang w:val="en-US" w:eastAsia="en-US"/>
    </w:rPr>
  </w:style>
  <w:style w:type="character" w:customStyle="1" w:styleId="EncabezadoCar">
    <w:name w:val="Encabezado Car"/>
    <w:basedOn w:val="Fuentedeprrafopredeter"/>
    <w:link w:val="Encabezado"/>
    <w:uiPriority w:val="99"/>
    <w:rsid w:val="00925A0B"/>
    <w:rPr>
      <w:sz w:val="24"/>
      <w:szCs w:val="24"/>
    </w:rPr>
  </w:style>
  <w:style w:type="character" w:customStyle="1" w:styleId="PiedepginaCar">
    <w:name w:val="Pie de página Car"/>
    <w:basedOn w:val="Fuentedeprrafopredeter"/>
    <w:link w:val="Piedepgina"/>
    <w:uiPriority w:val="99"/>
    <w:rsid w:val="005A1C60"/>
    <w:rPr>
      <w:sz w:val="24"/>
      <w:szCs w:val="24"/>
    </w:rPr>
  </w:style>
  <w:style w:type="paragraph" w:styleId="Bibliografa">
    <w:name w:val="Bibliography"/>
    <w:basedOn w:val="Normal"/>
    <w:next w:val="Normal"/>
    <w:uiPriority w:val="37"/>
    <w:unhideWhenUsed/>
    <w:rsid w:val="005D2040"/>
    <w:pPr>
      <w:suppressAutoHyphens w:val="0"/>
      <w:autoSpaceDN/>
      <w:textAlignment w:val="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ED36A4"/>
    <w:pPr>
      <w:suppressAutoHyphens/>
      <w:autoSpaceDN w:val="0"/>
      <w:textAlignment w:val="baseline"/>
    </w:pPr>
    <w:rPr>
      <w:sz w:val="24"/>
      <w:szCs w:val="24"/>
    </w:rPr>
  </w:style>
  <w:style w:type="paragraph" w:styleId="Ttulo1">
    <w:name w:val="heading 1"/>
    <w:basedOn w:val="Normal"/>
    <w:next w:val="Normal"/>
    <w:rsid w:val="00ED36A4"/>
    <w:pPr>
      <w:keepNext/>
      <w:widowControl w:val="0"/>
      <w:numPr>
        <w:numId w:val="1"/>
      </w:numPr>
      <w:tabs>
        <w:tab w:val="left" w:pos="0"/>
      </w:tabs>
      <w:jc w:val="center"/>
      <w:outlineLvl w:val="0"/>
    </w:pPr>
    <w:rPr>
      <w:rFonts w:ascii="Arial" w:hAnsi="Arial"/>
      <w:b/>
      <w:color w:val="000000"/>
      <w:sz w:val="40"/>
      <w:szCs w:val="20"/>
    </w:rPr>
  </w:style>
  <w:style w:type="paragraph" w:styleId="Ttulo2">
    <w:name w:val="heading 2"/>
    <w:basedOn w:val="Normal"/>
    <w:next w:val="Normal"/>
    <w:rsid w:val="00ED36A4"/>
    <w:pPr>
      <w:keepNext/>
      <w:widowControl w:val="0"/>
      <w:numPr>
        <w:ilvl w:val="1"/>
        <w:numId w:val="1"/>
      </w:numPr>
      <w:jc w:val="right"/>
      <w:outlineLvl w:val="1"/>
    </w:pPr>
    <w:rPr>
      <w:rFonts w:ascii="Arial" w:hAnsi="Arial"/>
      <w:b/>
      <w:color w:val="000000"/>
      <w:sz w:val="18"/>
      <w:szCs w:val="20"/>
    </w:rPr>
  </w:style>
  <w:style w:type="paragraph" w:styleId="Ttulo3">
    <w:name w:val="heading 3"/>
    <w:basedOn w:val="Normal"/>
    <w:next w:val="Normal"/>
    <w:rsid w:val="00ED36A4"/>
    <w:pPr>
      <w:keepNext/>
      <w:widowControl w:val="0"/>
      <w:numPr>
        <w:ilvl w:val="2"/>
        <w:numId w:val="1"/>
      </w:numPr>
      <w:jc w:val="center"/>
      <w:outlineLvl w:val="2"/>
    </w:pPr>
    <w:rPr>
      <w:rFonts w:ascii="Arial" w:hAnsi="Arial"/>
      <w:b/>
      <w:color w:val="000000"/>
      <w:sz w:val="18"/>
      <w:szCs w:val="20"/>
      <w:lang w:val="es-CO"/>
    </w:rPr>
  </w:style>
  <w:style w:type="paragraph" w:styleId="Ttulo4">
    <w:name w:val="heading 4"/>
    <w:basedOn w:val="Normal"/>
    <w:next w:val="Normal"/>
    <w:rsid w:val="00ED36A4"/>
    <w:pPr>
      <w:keepNext/>
      <w:numPr>
        <w:ilvl w:val="3"/>
        <w:numId w:val="1"/>
      </w:numPr>
      <w:tabs>
        <w:tab w:val="left" w:pos="-2160"/>
        <w:tab w:val="left" w:pos="-1980"/>
        <w:tab w:val="left" w:pos="360"/>
      </w:tabs>
      <w:jc w:val="both"/>
      <w:outlineLvl w:val="3"/>
    </w:pPr>
    <w:rPr>
      <w:rFonts w:ascii="Formata LightCondensed" w:hAnsi="Formata LightCondensed"/>
      <w:b/>
      <w:sz w:val="22"/>
      <w:szCs w:val="20"/>
      <w:lang w:val="es-MX"/>
    </w:rPr>
  </w:style>
  <w:style w:type="paragraph" w:styleId="Ttulo5">
    <w:name w:val="heading 5"/>
    <w:basedOn w:val="Normal"/>
    <w:next w:val="Normal"/>
    <w:rsid w:val="00ED36A4"/>
    <w:pPr>
      <w:keepNext/>
      <w:widowControl w:val="0"/>
      <w:numPr>
        <w:ilvl w:val="4"/>
        <w:numId w:val="1"/>
      </w:numPr>
      <w:jc w:val="both"/>
      <w:outlineLvl w:val="4"/>
    </w:pPr>
    <w:rPr>
      <w:rFonts w:ascii="Arial" w:hAnsi="Arial"/>
      <w:b/>
      <w:color w:val="000000"/>
      <w:sz w:val="22"/>
      <w:szCs w:val="20"/>
      <w:lang w:val="es-CO"/>
    </w:rPr>
  </w:style>
  <w:style w:type="paragraph" w:styleId="Ttulo6">
    <w:name w:val="heading 6"/>
    <w:basedOn w:val="Normal"/>
    <w:next w:val="Normal"/>
    <w:rsid w:val="00ED36A4"/>
    <w:pPr>
      <w:numPr>
        <w:ilvl w:val="5"/>
        <w:numId w:val="1"/>
      </w:numPr>
      <w:spacing w:before="240" w:after="60"/>
      <w:outlineLvl w:val="5"/>
    </w:pPr>
    <w:rPr>
      <w:b/>
      <w:bCs/>
      <w:sz w:val="22"/>
      <w:szCs w:val="22"/>
    </w:rPr>
  </w:style>
  <w:style w:type="paragraph" w:styleId="Ttulo7">
    <w:name w:val="heading 7"/>
    <w:basedOn w:val="Normal"/>
    <w:next w:val="Normal"/>
    <w:rsid w:val="00ED36A4"/>
    <w:pPr>
      <w:numPr>
        <w:ilvl w:val="6"/>
        <w:numId w:val="1"/>
      </w:numPr>
      <w:spacing w:before="240" w:after="60"/>
      <w:outlineLvl w:val="6"/>
    </w:pPr>
  </w:style>
  <w:style w:type="paragraph" w:styleId="Ttulo8">
    <w:name w:val="heading 8"/>
    <w:basedOn w:val="Normal"/>
    <w:next w:val="Normal"/>
    <w:rsid w:val="00ED36A4"/>
    <w:pPr>
      <w:numPr>
        <w:ilvl w:val="7"/>
        <w:numId w:val="1"/>
      </w:numPr>
      <w:spacing w:before="240" w:after="60"/>
      <w:outlineLvl w:val="7"/>
    </w:pPr>
    <w:rPr>
      <w:i/>
      <w:iCs/>
    </w:rPr>
  </w:style>
  <w:style w:type="paragraph" w:styleId="Ttulo9">
    <w:name w:val="heading 9"/>
    <w:basedOn w:val="Normal"/>
    <w:next w:val="Normal"/>
    <w:rsid w:val="00ED36A4"/>
    <w:pPr>
      <w:numPr>
        <w:ilvl w:val="8"/>
        <w:numId w:val="1"/>
      </w:numPr>
      <w:spacing w:before="240" w:after="60"/>
      <w:outlineLvl w:val="8"/>
    </w:pPr>
    <w:rPr>
      <w:rFonts w:ascii="Arial" w:hAnsi="Arial" w:cs="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numbering" w:customStyle="1" w:styleId="WWOutlineListStyle">
    <w:name w:val="WW_OutlineListStyle"/>
    <w:basedOn w:val="Sinlista"/>
    <w:rsid w:val="00ED36A4"/>
    <w:pPr>
      <w:numPr>
        <w:numId w:val="1"/>
      </w:numPr>
    </w:pPr>
  </w:style>
  <w:style w:type="paragraph" w:customStyle="1" w:styleId="Default">
    <w:name w:val="Default"/>
    <w:rsid w:val="00ED36A4"/>
    <w:pPr>
      <w:suppressAutoHyphens/>
      <w:autoSpaceDE w:val="0"/>
      <w:autoSpaceDN w:val="0"/>
      <w:textAlignment w:val="baseline"/>
    </w:pPr>
    <w:rPr>
      <w:rFonts w:ascii="Arial" w:hAnsi="Arial" w:cs="Arial"/>
      <w:color w:val="000000"/>
      <w:sz w:val="24"/>
      <w:szCs w:val="24"/>
    </w:rPr>
  </w:style>
  <w:style w:type="character" w:styleId="Hipervnculo">
    <w:name w:val="Hyperlink"/>
    <w:uiPriority w:val="99"/>
    <w:rsid w:val="00ED36A4"/>
    <w:rPr>
      <w:color w:val="0000FF"/>
      <w:u w:val="single"/>
    </w:rPr>
  </w:style>
  <w:style w:type="paragraph" w:styleId="Textonotapie">
    <w:name w:val="footnote text"/>
    <w:basedOn w:val="Normal"/>
    <w:rsid w:val="00ED36A4"/>
    <w:rPr>
      <w:sz w:val="20"/>
      <w:szCs w:val="20"/>
    </w:rPr>
  </w:style>
  <w:style w:type="character" w:styleId="Refdenotaalpie">
    <w:name w:val="footnote reference"/>
    <w:rsid w:val="00ED36A4"/>
    <w:rPr>
      <w:position w:val="0"/>
      <w:vertAlign w:val="superscript"/>
    </w:rPr>
  </w:style>
  <w:style w:type="character" w:customStyle="1" w:styleId="TextonotapieCar">
    <w:name w:val="Texto nota pie Car"/>
    <w:rsid w:val="00ED36A4"/>
    <w:rPr>
      <w:lang w:val="es-ES" w:eastAsia="es-ES" w:bidi="ar-SA"/>
    </w:rPr>
  </w:style>
  <w:style w:type="paragraph" w:styleId="Piedepgina">
    <w:name w:val="footer"/>
    <w:basedOn w:val="Normal"/>
    <w:uiPriority w:val="99"/>
    <w:rsid w:val="00ED36A4"/>
    <w:pPr>
      <w:tabs>
        <w:tab w:val="center" w:pos="4252"/>
        <w:tab w:val="right" w:pos="8504"/>
      </w:tabs>
    </w:pPr>
  </w:style>
  <w:style w:type="character" w:styleId="Nmerodepgina">
    <w:name w:val="page number"/>
    <w:basedOn w:val="Fuentedeprrafopredeter"/>
    <w:rsid w:val="00ED36A4"/>
  </w:style>
  <w:style w:type="paragraph" w:styleId="Encabezado">
    <w:name w:val="header"/>
    <w:basedOn w:val="Normal"/>
    <w:link w:val="EncabezadoCar"/>
    <w:uiPriority w:val="99"/>
    <w:rsid w:val="00ED36A4"/>
    <w:pPr>
      <w:tabs>
        <w:tab w:val="center" w:pos="4252"/>
        <w:tab w:val="right" w:pos="8504"/>
      </w:tabs>
    </w:pPr>
  </w:style>
  <w:style w:type="paragraph" w:styleId="Prrafodelista">
    <w:name w:val="List Paragraph"/>
    <w:basedOn w:val="Normal"/>
    <w:uiPriority w:val="34"/>
    <w:qFormat/>
    <w:rsid w:val="00ED36A4"/>
    <w:pPr>
      <w:ind w:left="708"/>
    </w:pPr>
  </w:style>
  <w:style w:type="character" w:styleId="nfasis">
    <w:name w:val="Emphasis"/>
    <w:rsid w:val="00ED36A4"/>
    <w:rPr>
      <w:i/>
      <w:iCs/>
    </w:rPr>
  </w:style>
  <w:style w:type="character" w:styleId="Hipervnculovisitado">
    <w:name w:val="FollowedHyperlink"/>
    <w:rsid w:val="00ED36A4"/>
    <w:rPr>
      <w:color w:val="800080"/>
      <w:u w:val="single"/>
    </w:rPr>
  </w:style>
  <w:style w:type="paragraph" w:styleId="Sinespaciado">
    <w:name w:val="No Spacing"/>
    <w:rsid w:val="00ED36A4"/>
    <w:pPr>
      <w:suppressAutoHyphens/>
      <w:autoSpaceDN w:val="0"/>
      <w:textAlignment w:val="baseline"/>
    </w:pPr>
    <w:rPr>
      <w:rFonts w:ascii="Calibri" w:eastAsia="Calibri" w:hAnsi="Calibri"/>
      <w:sz w:val="22"/>
      <w:szCs w:val="22"/>
      <w:lang w:eastAsia="en-US"/>
    </w:rPr>
  </w:style>
  <w:style w:type="character" w:styleId="Refdecomentario">
    <w:name w:val="annotation reference"/>
    <w:basedOn w:val="Fuentedeprrafopredeter"/>
    <w:rsid w:val="00ED36A4"/>
    <w:rPr>
      <w:sz w:val="16"/>
      <w:szCs w:val="16"/>
    </w:rPr>
  </w:style>
  <w:style w:type="paragraph" w:styleId="Textocomentario">
    <w:name w:val="annotation text"/>
    <w:basedOn w:val="Normal"/>
    <w:rsid w:val="00ED36A4"/>
    <w:rPr>
      <w:sz w:val="20"/>
      <w:szCs w:val="20"/>
    </w:rPr>
  </w:style>
  <w:style w:type="character" w:customStyle="1" w:styleId="TextocomentarioCar">
    <w:name w:val="Texto comentario Car"/>
    <w:basedOn w:val="Fuentedeprrafopredeter"/>
    <w:rsid w:val="00ED36A4"/>
    <w:rPr>
      <w:lang w:val="es-ES" w:eastAsia="es-ES"/>
    </w:rPr>
  </w:style>
  <w:style w:type="paragraph" w:styleId="Asuntodelcomentario">
    <w:name w:val="annotation subject"/>
    <w:basedOn w:val="Textocomentario"/>
    <w:next w:val="Textocomentario"/>
    <w:rsid w:val="00ED36A4"/>
    <w:rPr>
      <w:b/>
      <w:bCs/>
    </w:rPr>
  </w:style>
  <w:style w:type="character" w:customStyle="1" w:styleId="AsuntodelcomentarioCar">
    <w:name w:val="Asunto del comentario Car"/>
    <w:basedOn w:val="TextocomentarioCar"/>
    <w:rsid w:val="00ED36A4"/>
    <w:rPr>
      <w:b/>
      <w:bCs/>
      <w:lang w:val="es-ES" w:eastAsia="es-ES"/>
    </w:rPr>
  </w:style>
  <w:style w:type="paragraph" w:styleId="Textodeglobo">
    <w:name w:val="Balloon Text"/>
    <w:basedOn w:val="Normal"/>
    <w:rsid w:val="00ED36A4"/>
    <w:rPr>
      <w:rFonts w:ascii="Tahoma" w:hAnsi="Tahoma" w:cs="Tahoma"/>
      <w:sz w:val="16"/>
      <w:szCs w:val="16"/>
    </w:rPr>
  </w:style>
  <w:style w:type="character" w:customStyle="1" w:styleId="TextodegloboCar">
    <w:name w:val="Texto de globo Car"/>
    <w:basedOn w:val="Fuentedeprrafopredeter"/>
    <w:rsid w:val="00ED36A4"/>
    <w:rPr>
      <w:rFonts w:ascii="Tahoma" w:hAnsi="Tahoma" w:cs="Tahoma"/>
      <w:sz w:val="16"/>
      <w:szCs w:val="16"/>
      <w:lang w:val="es-ES" w:eastAsia="es-ES"/>
    </w:rPr>
  </w:style>
  <w:style w:type="paragraph" w:styleId="Ttulo">
    <w:name w:val="Title"/>
    <w:basedOn w:val="Normal"/>
    <w:next w:val="Normal"/>
    <w:link w:val="TtuloCar"/>
    <w:qFormat/>
    <w:rsid w:val="002719AD"/>
    <w:pPr>
      <w:autoSpaceDN/>
      <w:jc w:val="center"/>
      <w:textAlignment w:val="auto"/>
    </w:pPr>
    <w:rPr>
      <w:rFonts w:ascii="Arial" w:hAnsi="Arial"/>
      <w:b/>
      <w:szCs w:val="20"/>
      <w:lang w:val="es-ES_tradnl" w:eastAsia="ar-SA"/>
    </w:rPr>
  </w:style>
  <w:style w:type="character" w:customStyle="1" w:styleId="TtuloCar">
    <w:name w:val="Título Car"/>
    <w:basedOn w:val="Fuentedeprrafopredeter"/>
    <w:link w:val="Ttulo"/>
    <w:rsid w:val="002719AD"/>
    <w:rPr>
      <w:rFonts w:ascii="Arial" w:hAnsi="Arial"/>
      <w:b/>
      <w:sz w:val="24"/>
      <w:lang w:val="es-ES_tradnl" w:eastAsia="ar-SA"/>
    </w:rPr>
  </w:style>
  <w:style w:type="paragraph" w:styleId="Subttulo">
    <w:name w:val="Subtitle"/>
    <w:basedOn w:val="Normal"/>
    <w:next w:val="Normal"/>
    <w:link w:val="SubttuloCar"/>
    <w:uiPriority w:val="11"/>
    <w:qFormat/>
    <w:rsid w:val="002719AD"/>
    <w:pPr>
      <w:numPr>
        <w:ilvl w:val="1"/>
      </w:numPr>
    </w:pPr>
    <w:rPr>
      <w:rFonts w:ascii="Cambria" w:hAnsi="Cambria"/>
      <w:i/>
      <w:iCs/>
      <w:color w:val="4F81BD"/>
      <w:spacing w:val="15"/>
    </w:rPr>
  </w:style>
  <w:style w:type="character" w:customStyle="1" w:styleId="SubttuloCar">
    <w:name w:val="Subtítulo Car"/>
    <w:basedOn w:val="Fuentedeprrafopredeter"/>
    <w:link w:val="Subttulo"/>
    <w:uiPriority w:val="11"/>
    <w:rsid w:val="002719AD"/>
    <w:rPr>
      <w:rFonts w:ascii="Cambria" w:eastAsia="Times New Roman" w:hAnsi="Cambria" w:cs="Times New Roman"/>
      <w:i/>
      <w:iCs/>
      <w:color w:val="4F81BD"/>
      <w:spacing w:val="15"/>
      <w:sz w:val="24"/>
      <w:szCs w:val="24"/>
    </w:rPr>
  </w:style>
  <w:style w:type="character" w:customStyle="1" w:styleId="apple-converted-space">
    <w:name w:val="apple-converted-space"/>
    <w:basedOn w:val="Fuentedeprrafopredeter"/>
    <w:rsid w:val="00B35410"/>
  </w:style>
  <w:style w:type="paragraph" w:customStyle="1" w:styleId="Style4">
    <w:name w:val="Style4"/>
    <w:basedOn w:val="Normal"/>
    <w:uiPriority w:val="99"/>
    <w:rsid w:val="00C1138A"/>
    <w:pPr>
      <w:widowControl w:val="0"/>
      <w:suppressAutoHyphens w:val="0"/>
      <w:autoSpaceDE w:val="0"/>
      <w:adjustRightInd w:val="0"/>
      <w:spacing w:line="254" w:lineRule="exact"/>
      <w:jc w:val="both"/>
      <w:textAlignment w:val="auto"/>
    </w:pPr>
    <w:rPr>
      <w:rFonts w:ascii="Calibri" w:hAnsi="Calibri"/>
      <w:lang w:val="es-CO" w:eastAsia="es-CO"/>
    </w:rPr>
  </w:style>
  <w:style w:type="character" w:customStyle="1" w:styleId="FontStyle51">
    <w:name w:val="Font Style51"/>
    <w:basedOn w:val="Fuentedeprrafopredeter"/>
    <w:uiPriority w:val="99"/>
    <w:rsid w:val="00C1138A"/>
    <w:rPr>
      <w:rFonts w:ascii="Book Antiqua" w:hAnsi="Book Antiqua" w:cs="Book Antiqua"/>
      <w:color w:val="000000"/>
      <w:sz w:val="18"/>
      <w:szCs w:val="18"/>
    </w:rPr>
  </w:style>
  <w:style w:type="character" w:styleId="Textoennegrita">
    <w:name w:val="Strong"/>
    <w:basedOn w:val="Fuentedeprrafopredeter"/>
    <w:uiPriority w:val="22"/>
    <w:qFormat/>
    <w:rsid w:val="005A7B80"/>
    <w:rPr>
      <w:b/>
      <w:bCs/>
    </w:rPr>
  </w:style>
  <w:style w:type="table" w:styleId="Tablaconcuadrcula">
    <w:name w:val="Table Grid"/>
    <w:basedOn w:val="Tablanormal"/>
    <w:uiPriority w:val="59"/>
    <w:rsid w:val="00C5599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EndNoteBibliography">
    <w:name w:val="EndNote Bibliography"/>
    <w:basedOn w:val="Normal"/>
    <w:link w:val="EndNoteBibliographyCar"/>
    <w:rsid w:val="002540EB"/>
    <w:pPr>
      <w:suppressAutoHyphens w:val="0"/>
      <w:autoSpaceDN/>
      <w:spacing w:after="200"/>
      <w:textAlignment w:val="auto"/>
    </w:pPr>
    <w:rPr>
      <w:rFonts w:ascii="Calibri" w:eastAsiaTheme="minorHAnsi" w:hAnsi="Calibri" w:cstheme="minorBidi"/>
      <w:noProof/>
      <w:sz w:val="22"/>
      <w:szCs w:val="22"/>
      <w:lang w:val="en-US" w:eastAsia="en-US"/>
    </w:rPr>
  </w:style>
  <w:style w:type="character" w:customStyle="1" w:styleId="EndNoteBibliographyCar">
    <w:name w:val="EndNote Bibliography Car"/>
    <w:basedOn w:val="Fuentedeprrafopredeter"/>
    <w:link w:val="EndNoteBibliography"/>
    <w:rsid w:val="002540EB"/>
    <w:rPr>
      <w:rFonts w:ascii="Calibri" w:eastAsiaTheme="minorHAnsi" w:hAnsi="Calibri" w:cstheme="minorBidi"/>
      <w:noProof/>
      <w:sz w:val="22"/>
      <w:szCs w:val="22"/>
      <w:lang w:val="en-US" w:eastAsia="en-US"/>
    </w:rPr>
  </w:style>
  <w:style w:type="character" w:customStyle="1" w:styleId="EncabezadoCar">
    <w:name w:val="Encabezado Car"/>
    <w:basedOn w:val="Fuentedeprrafopredeter"/>
    <w:link w:val="Encabezado"/>
    <w:uiPriority w:val="99"/>
    <w:rsid w:val="00925A0B"/>
    <w:rPr>
      <w:sz w:val="24"/>
      <w:szCs w:val="24"/>
    </w:rPr>
  </w:style>
  <w:style w:type="character" w:customStyle="1" w:styleId="PiedepginaCar">
    <w:name w:val="Pie de página Car"/>
    <w:basedOn w:val="Fuentedeprrafopredeter"/>
    <w:link w:val="Piedepgina"/>
    <w:uiPriority w:val="99"/>
    <w:rsid w:val="005A1C60"/>
    <w:rPr>
      <w:sz w:val="24"/>
      <w:szCs w:val="24"/>
    </w:rPr>
  </w:style>
  <w:style w:type="paragraph" w:styleId="Bibliografa">
    <w:name w:val="Bibliography"/>
    <w:basedOn w:val="Normal"/>
    <w:next w:val="Normal"/>
    <w:uiPriority w:val="37"/>
    <w:unhideWhenUsed/>
    <w:rsid w:val="005D2040"/>
    <w:pPr>
      <w:suppressAutoHyphens w:val="0"/>
      <w:autoSpaceDN/>
      <w:textAlignment w:val="auto"/>
    </w:pPr>
  </w:style>
</w:styles>
</file>

<file path=word/webSettings.xml><?xml version="1.0" encoding="utf-8"?>
<w:webSettings xmlns:r="http://schemas.openxmlformats.org/officeDocument/2006/relationships" xmlns:w="http://schemas.openxmlformats.org/wordprocessingml/2006/main">
  <w:divs>
    <w:div w:id="705257076">
      <w:bodyDiv w:val="1"/>
      <w:marLeft w:val="0"/>
      <w:marRight w:val="0"/>
      <w:marTop w:val="0"/>
      <w:marBottom w:val="0"/>
      <w:divBdr>
        <w:top w:val="none" w:sz="0" w:space="0" w:color="auto"/>
        <w:left w:val="none" w:sz="0" w:space="0" w:color="auto"/>
        <w:bottom w:val="none" w:sz="0" w:space="0" w:color="auto"/>
        <w:right w:val="none" w:sz="0" w:space="0" w:color="auto"/>
      </w:divBdr>
      <w:divsChild>
        <w:div w:id="432822506">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redalyc.or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Gud12</b:Tag>
    <b:SourceType>JournalArticle</b:SourceType>
    <b:Guid>{BCDA9170-28D1-40B3-A5E5-284655633BEF}</b:Guid>
    <b:Author>
      <b:Author>
        <b:NameList>
          <b:Person>
            <b:Last>Gudynas</b:Last>
            <b:First>Eduardo</b:First>
          </b:Person>
        </b:NameList>
      </b:Author>
    </b:Author>
    <b:Title>Estado compensador de nuevos extractivismo. Las ambivalencias del progresismo sudamericano.</b:Title>
    <b:Year>2012</b:Year>
    <b:JournalName>Nueva Sociedad</b:JournalName>
    <b:Pages>132-133</b:Pages>
    <b:Month>Enero</b:Month>
    <b:Issue>237</b:Issue>
    <b:RefOrder>4</b:RefOrder>
  </b:Source>
</b:Sources>
</file>

<file path=customXml/itemProps1.xml><?xml version="1.0" encoding="utf-8"?>
<ds:datastoreItem xmlns:ds="http://schemas.openxmlformats.org/officeDocument/2006/customXml" ds:itemID="{EAEFC5FF-EFC8-4658-99D0-2A0840BF2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4892</Words>
  <Characters>26910</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OBJETIVO: SELECCIONAR PROYECTOS TENDIENTES A LA CELEBRACIÓN DE CONVENIOS ESPECIALES DE COOPERACIÓN EN EL PROGRAMA NACIONAL DE FORMACIÓN ESPECIALIZADA Y ACTUALIZACIÓN TECNOLÓGICA DEL RECURSO HUMANO, EN LAS LÍNEAS DE FORMACIÓN PARA LA ALTA GERENCIA Y FORM</vt:lpstr>
    </vt:vector>
  </TitlesOfParts>
  <Company>Usta</Company>
  <LinksUpToDate>false</LinksUpToDate>
  <CharactersWithSpaces>31739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OBJETIVO: SELECCIONAR PROYECTOS TENDIENTES A LA CELEBRACIÓN DE CONVENIOS ESPECIALES DE COOPERACIÓN EN EL PROGRAMA NACIONAL DE FORMACIÓN ESPECIALIZADA Y ACTUALIZACIÓN TECNOLÓGICA DEL RECURSO HUMANO, EN LAS LÍNEAS DE FORMACIÓN PARA LA ALTA GERENCIA Y FORM</dc:title>
  <dc:creator>Universidad Santo Tomas</dc:creator>
  <cp:lastModifiedBy>Doc12UnidInves</cp:lastModifiedBy>
  <cp:revision>2</cp:revision>
  <cp:lastPrinted>2010-07-06T20:58:00Z</cp:lastPrinted>
  <dcterms:created xsi:type="dcterms:W3CDTF">2014-08-26T21:35:00Z</dcterms:created>
  <dcterms:modified xsi:type="dcterms:W3CDTF">2014-08-26T21:35:00Z</dcterms:modified>
</cp:coreProperties>
</file>