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18AF" w:rsidRPr="00FA5A84" w:rsidRDefault="00642463" w:rsidP="002A18AF">
      <w:pPr>
        <w:jc w:val="center"/>
        <w:rPr>
          <w:rFonts w:ascii="Times New Roman" w:hAnsi="Times New Roman" w:cs="Times New Roman"/>
          <w:b/>
          <w:lang w:val="es-ES"/>
        </w:rPr>
      </w:pPr>
      <w:r w:rsidRPr="00FA5A84">
        <w:rPr>
          <w:rFonts w:ascii="Times New Roman" w:hAnsi="Times New Roman" w:cs="Times New Roman"/>
          <w:b/>
          <w:lang w:val="es-ES"/>
        </w:rPr>
        <w:t>DECIMOQUINTA CONVOCATORIA PARA EL FOMENTO DE LA INVESTIGACIÓN Y LA INNOVACIÓN 2020</w:t>
      </w:r>
    </w:p>
    <w:tbl>
      <w:tblPr>
        <w:tblW w:w="14983" w:type="dxa"/>
        <w:shd w:val="clear" w:color="auto" w:fill="FFFFFF"/>
        <w:tblLook w:val="04A0"/>
      </w:tblPr>
      <w:tblGrid>
        <w:gridCol w:w="7491"/>
        <w:gridCol w:w="7492"/>
      </w:tblGrid>
      <w:tr w:rsidR="002A18AF" w:rsidRPr="00FA5A84"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A5A84" w:rsidRDefault="002A18AF"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Título del proyecto</w:t>
            </w:r>
          </w:p>
        </w:tc>
      </w:tr>
      <w:tr w:rsidR="002A18AF" w:rsidRPr="00FA5A84"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A5A84" w:rsidRDefault="00484B6B">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hAnsi="Times New Roman" w:cs="Times New Roman"/>
                <w:b/>
                <w:sz w:val="24"/>
                <w:szCs w:val="24"/>
              </w:rPr>
              <w:t>Déficit de vivienda y densificación en Bogotá</w:t>
            </w:r>
          </w:p>
        </w:tc>
      </w:tr>
      <w:tr w:rsidR="00265B89" w:rsidRPr="00FA5A84"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FA5A84" w:rsidRDefault="00265B89"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FA5A84" w:rsidRDefault="00265B89" w:rsidP="00265B8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Transdisciplinariedad - Aporte al PIM</w:t>
            </w:r>
          </w:p>
        </w:tc>
      </w:tr>
      <w:tr w:rsidR="00265B89" w:rsidRPr="00FA5A84"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FA5A84" w:rsidRDefault="005077E7"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Estrategia para política pública</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265B89" w:rsidRPr="00FA5A84" w:rsidRDefault="005077E7"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Economía y política social</w:t>
            </w:r>
          </w:p>
        </w:tc>
      </w:tr>
      <w:tr w:rsidR="00265B89" w:rsidRPr="00FA5A84"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FA5A84" w:rsidRDefault="00265B89" w:rsidP="00265B8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Articulación con funciones sustantivas y el sector social y productivo</w:t>
            </w:r>
          </w:p>
        </w:tc>
      </w:tr>
      <w:tr w:rsidR="00265B89" w:rsidRPr="00FA5A84"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FA5A84" w:rsidRDefault="00484B6B" w:rsidP="002369EC">
            <w:pPr>
              <w:spacing w:before="100" w:beforeAutospacing="1" w:after="100" w:afterAutospacing="1" w:line="240" w:lineRule="auto"/>
              <w:rPr>
                <w:rFonts w:ascii="Times New Roman" w:eastAsia="Times New Roman" w:hAnsi="Times New Roman" w:cs="Times New Roman"/>
                <w:bCs/>
                <w:color w:val="222222"/>
                <w:sz w:val="24"/>
                <w:szCs w:val="24"/>
                <w:lang w:eastAsia="es-CO"/>
              </w:rPr>
            </w:pPr>
            <w:r w:rsidRPr="00FA5A84">
              <w:rPr>
                <w:rFonts w:ascii="Times New Roman" w:eastAsia="Times New Roman" w:hAnsi="Times New Roman" w:cs="Times New Roman"/>
                <w:bCs/>
                <w:color w:val="222222"/>
                <w:sz w:val="24"/>
                <w:szCs w:val="24"/>
                <w:lang w:eastAsia="es-CO"/>
              </w:rPr>
              <w:t xml:space="preserve">La investigación </w:t>
            </w:r>
            <w:r w:rsidR="002369EC" w:rsidRPr="00FA5A84">
              <w:rPr>
                <w:rFonts w:ascii="Times New Roman" w:eastAsia="Times New Roman" w:hAnsi="Times New Roman" w:cs="Times New Roman"/>
                <w:bCs/>
                <w:color w:val="222222"/>
                <w:sz w:val="24"/>
                <w:szCs w:val="24"/>
                <w:lang w:eastAsia="es-CO"/>
              </w:rPr>
              <w:t xml:space="preserve">tiene alcances académicos y de proyección social, en tanto pone al servicio de la misma el conocimiento de la economía urbana y se centra en un problema que afecta a miles de hogares en Colombia y en Bogotá de manera particular: el del déficit de la vivienda. También tiene interés en tanto se trata de un problema con implicaciones económicas y sociales sectoriales (construcción y acceso a la vivienda y transformaciones urbanas incluyentes) </w:t>
            </w:r>
          </w:p>
        </w:tc>
      </w:tr>
      <w:tr w:rsidR="002A18AF" w:rsidRPr="00FA5A84"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FA5A84" w:rsidRDefault="002A18AF" w:rsidP="002A18AF">
            <w:pPr>
              <w:spacing w:after="0"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FA5A84" w:rsidRDefault="002A18AF" w:rsidP="002A18AF">
            <w:pPr>
              <w:spacing w:after="0"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Línea de investigación en la que se inscribe el proyecto</w:t>
            </w:r>
          </w:p>
        </w:tc>
      </w:tr>
      <w:tr w:rsidR="002A18AF" w:rsidRPr="00FA5A84"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A5A84" w:rsidRDefault="002369EC" w:rsidP="002369EC">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 xml:space="preserve">Economía y Humanismo.                                                       </w:t>
            </w:r>
            <w:r w:rsidRPr="00FA5A84">
              <w:rPr>
                <w:rFonts w:ascii="Times New Roman" w:hAnsi="Times New Roman" w:cs="Times New Roman"/>
                <w:sz w:val="24"/>
                <w:szCs w:val="24"/>
              </w:rPr>
              <w:t>Economía Pública-Economía Social</w:t>
            </w:r>
          </w:p>
        </w:tc>
      </w:tr>
    </w:tbl>
    <w:p w:rsidR="002A18AF" w:rsidRPr="00FA5A84" w:rsidRDefault="002A18AF" w:rsidP="002A18AF">
      <w:pPr>
        <w:spacing w:after="0" w:line="240" w:lineRule="auto"/>
        <w:rPr>
          <w:rFonts w:ascii="Times New Roman" w:eastAsia="Times New Roman" w:hAnsi="Times New Roman" w:cs="Times New Roman"/>
          <w:sz w:val="24"/>
          <w:szCs w:val="24"/>
          <w:lang w:eastAsia="es-CO"/>
        </w:rPr>
      </w:pPr>
    </w:p>
    <w:tbl>
      <w:tblPr>
        <w:tblW w:w="14970" w:type="dxa"/>
        <w:shd w:val="clear" w:color="auto" w:fill="FFFFFF"/>
        <w:tblLayout w:type="fixed"/>
        <w:tblLook w:val="04A0"/>
      </w:tblPr>
      <w:tblGrid>
        <w:gridCol w:w="2251"/>
        <w:gridCol w:w="4710"/>
        <w:gridCol w:w="4207"/>
        <w:gridCol w:w="3802"/>
      </w:tblGrid>
      <w:tr w:rsidR="00484B6B" w:rsidRPr="00FA5A84" w:rsidTr="00484B6B">
        <w:trPr>
          <w:trHeight w:val="516"/>
        </w:trPr>
        <w:tc>
          <w:tcPr>
            <w:tcW w:w="75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A5A84"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Nombre del Investigador principal</w:t>
            </w:r>
          </w:p>
        </w:tc>
        <w:tc>
          <w:tcPr>
            <w:tcW w:w="157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A5A84"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 xml:space="preserve">Enlace </w:t>
            </w:r>
            <w:proofErr w:type="spellStart"/>
            <w:r w:rsidRPr="00FA5A84">
              <w:rPr>
                <w:rFonts w:ascii="Times New Roman" w:eastAsia="Times New Roman" w:hAnsi="Times New Roman" w:cs="Times New Roman"/>
                <w:b/>
                <w:bCs/>
                <w:color w:val="222222"/>
                <w:sz w:val="24"/>
                <w:szCs w:val="24"/>
                <w:lang w:eastAsia="es-CO"/>
              </w:rPr>
              <w:t>CvLAC</w:t>
            </w:r>
            <w:proofErr w:type="spellEnd"/>
          </w:p>
        </w:tc>
        <w:tc>
          <w:tcPr>
            <w:tcW w:w="140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A5A84"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Enlace ORCID</w:t>
            </w:r>
          </w:p>
        </w:tc>
        <w:tc>
          <w:tcPr>
            <w:tcW w:w="127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A5A84"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Enlace Google Académico</w:t>
            </w:r>
          </w:p>
        </w:tc>
      </w:tr>
      <w:tr w:rsidR="00484B6B" w:rsidRPr="00FA5A84" w:rsidTr="00484B6B">
        <w:trPr>
          <w:trHeight w:val="536"/>
        </w:trPr>
        <w:tc>
          <w:tcPr>
            <w:tcW w:w="7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A5A84" w:rsidRDefault="00484B6B">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hAnsi="Times New Roman" w:cs="Times New Roman"/>
                <w:b/>
                <w:sz w:val="24"/>
                <w:szCs w:val="24"/>
              </w:rPr>
              <w:t>Oscar Arcos Palma</w:t>
            </w:r>
          </w:p>
        </w:tc>
        <w:tc>
          <w:tcPr>
            <w:tcW w:w="157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A5A84" w:rsidRDefault="005E4A4C" w:rsidP="00163C23">
            <w:pPr>
              <w:jc w:val="both"/>
              <w:rPr>
                <w:rFonts w:ascii="Times New Roman" w:hAnsi="Times New Roman" w:cs="Times New Roman"/>
              </w:rPr>
            </w:pPr>
            <w:hyperlink r:id="rId8" w:history="1">
              <w:r w:rsidR="00484B6B" w:rsidRPr="00FA5A84">
                <w:rPr>
                  <w:rStyle w:val="Hipervnculo"/>
                  <w:rFonts w:ascii="Times New Roman" w:hAnsi="Times New Roman" w:cs="Times New Roman"/>
                </w:rPr>
                <w:t>http://scienti.colciencias.gov.co:8081/cvlac/visualizador/generarCurriculoCv.do?cod_rh=0000479110</w:t>
              </w:r>
            </w:hyperlink>
          </w:p>
        </w:tc>
        <w:tc>
          <w:tcPr>
            <w:tcW w:w="14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B6B" w:rsidRPr="00FA5A84" w:rsidRDefault="005E4A4C" w:rsidP="00484B6B">
            <w:pPr>
              <w:jc w:val="both"/>
              <w:rPr>
                <w:rFonts w:ascii="Times New Roman" w:hAnsi="Times New Roman" w:cs="Times New Roman"/>
                <w:lang w:val="en-US"/>
              </w:rPr>
            </w:pPr>
            <w:hyperlink r:id="rId9" w:history="1">
              <w:r w:rsidR="00484B6B" w:rsidRPr="00FA5A84">
                <w:rPr>
                  <w:rStyle w:val="Hipervnculo"/>
                  <w:rFonts w:ascii="Times New Roman" w:hAnsi="Times New Roman" w:cs="Times New Roman"/>
                  <w:lang w:val="en-US"/>
                </w:rPr>
                <w:t>https://orcid.org/0000-0002-1171-7926</w:t>
              </w:r>
            </w:hyperlink>
          </w:p>
          <w:p w:rsidR="002A18AF" w:rsidRPr="00FA5A84" w:rsidRDefault="002A18AF">
            <w:pPr>
              <w:spacing w:after="0" w:line="240" w:lineRule="auto"/>
              <w:jc w:val="center"/>
              <w:rPr>
                <w:rFonts w:ascii="Times New Roman" w:eastAsia="Times New Roman" w:hAnsi="Times New Roman" w:cs="Times New Roman"/>
                <w:color w:val="222222"/>
                <w:sz w:val="24"/>
                <w:szCs w:val="24"/>
                <w:lang w:eastAsia="es-CO"/>
              </w:rPr>
            </w:pPr>
          </w:p>
        </w:tc>
        <w:tc>
          <w:tcPr>
            <w:tcW w:w="12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A5A84" w:rsidRDefault="005E4A4C" w:rsidP="00484B6B">
            <w:pPr>
              <w:spacing w:after="0" w:line="240" w:lineRule="auto"/>
              <w:rPr>
                <w:rFonts w:ascii="Times New Roman" w:eastAsia="Times New Roman" w:hAnsi="Times New Roman" w:cs="Times New Roman"/>
                <w:color w:val="222222"/>
                <w:sz w:val="24"/>
                <w:szCs w:val="24"/>
                <w:lang w:eastAsia="es-CO"/>
              </w:rPr>
            </w:pPr>
            <w:hyperlink r:id="rId10" w:history="1">
              <w:r w:rsidR="00484B6B" w:rsidRPr="00FA5A84">
                <w:rPr>
                  <w:rStyle w:val="Hipervnculo"/>
                  <w:rFonts w:ascii="Times New Roman" w:hAnsi="Times New Roman" w:cs="Times New Roman"/>
                  <w:lang w:val="en-US"/>
                </w:rPr>
                <w:t>https://scholar.google.es/citations?hl=es&amp;user=RpKLCrsAAAAJ</w:t>
              </w:r>
            </w:hyperlink>
          </w:p>
        </w:tc>
      </w:tr>
      <w:tr w:rsidR="00484B6B" w:rsidRPr="00FA5A84" w:rsidTr="00484B6B">
        <w:trPr>
          <w:trHeight w:val="536"/>
        </w:trPr>
        <w:tc>
          <w:tcPr>
            <w:tcW w:w="75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FA5A84" w:rsidRDefault="002A18AF"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División</w:t>
            </w:r>
          </w:p>
        </w:tc>
        <w:tc>
          <w:tcPr>
            <w:tcW w:w="157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FA5A84" w:rsidRDefault="002A18AF"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Facultad</w:t>
            </w:r>
          </w:p>
        </w:tc>
        <w:tc>
          <w:tcPr>
            <w:tcW w:w="140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FA5A84" w:rsidRDefault="002A18AF"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Programa</w:t>
            </w:r>
          </w:p>
        </w:tc>
        <w:tc>
          <w:tcPr>
            <w:tcW w:w="127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FA5A84" w:rsidRDefault="002A18AF"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Grupo de investigación</w:t>
            </w:r>
          </w:p>
        </w:tc>
      </w:tr>
      <w:tr w:rsidR="00484B6B" w:rsidRPr="00FA5A84" w:rsidTr="00484B6B">
        <w:trPr>
          <w:trHeight w:val="536"/>
        </w:trPr>
        <w:tc>
          <w:tcPr>
            <w:tcW w:w="7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A5A84" w:rsidRDefault="00484B6B"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Ciencias Económicas y Administrativas</w:t>
            </w:r>
          </w:p>
        </w:tc>
        <w:tc>
          <w:tcPr>
            <w:tcW w:w="157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A5A84" w:rsidRDefault="00484B6B"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Economía</w:t>
            </w:r>
          </w:p>
        </w:tc>
        <w:tc>
          <w:tcPr>
            <w:tcW w:w="14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A5A84" w:rsidRDefault="00484B6B"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Maestría en Ciencias Económicas</w:t>
            </w:r>
          </w:p>
        </w:tc>
        <w:tc>
          <w:tcPr>
            <w:tcW w:w="12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A5A84" w:rsidRDefault="00484B6B"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Economía y Humanismo</w:t>
            </w:r>
          </w:p>
        </w:tc>
      </w:tr>
      <w:tr w:rsidR="00484B6B" w:rsidRPr="00FA5A84" w:rsidTr="00484B6B">
        <w:trPr>
          <w:trHeight w:val="536"/>
        </w:trPr>
        <w:tc>
          <w:tcPr>
            <w:tcW w:w="75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FA5A84" w:rsidRDefault="00AC47BF" w:rsidP="00E6008D">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 xml:space="preserve">Nombre del Co-investigador </w:t>
            </w:r>
          </w:p>
        </w:tc>
        <w:tc>
          <w:tcPr>
            <w:tcW w:w="157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FA5A84"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 xml:space="preserve">Enlace </w:t>
            </w:r>
            <w:proofErr w:type="spellStart"/>
            <w:r w:rsidRPr="00FA5A84">
              <w:rPr>
                <w:rFonts w:ascii="Times New Roman" w:eastAsia="Times New Roman" w:hAnsi="Times New Roman" w:cs="Times New Roman"/>
                <w:b/>
                <w:bCs/>
                <w:color w:val="222222"/>
                <w:sz w:val="24"/>
                <w:szCs w:val="24"/>
                <w:lang w:eastAsia="es-CO"/>
              </w:rPr>
              <w:t>CvLAC</w:t>
            </w:r>
            <w:proofErr w:type="spellEnd"/>
          </w:p>
        </w:tc>
        <w:tc>
          <w:tcPr>
            <w:tcW w:w="140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FA5A84"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Enlace ORCID</w:t>
            </w:r>
          </w:p>
        </w:tc>
        <w:tc>
          <w:tcPr>
            <w:tcW w:w="127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FA5A84"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Enlace Google Académico</w:t>
            </w:r>
          </w:p>
        </w:tc>
      </w:tr>
      <w:tr w:rsidR="00484B6B" w:rsidRPr="00FA5A84" w:rsidTr="00163C23">
        <w:trPr>
          <w:trHeight w:val="712"/>
        </w:trPr>
        <w:tc>
          <w:tcPr>
            <w:tcW w:w="7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FA5A84" w:rsidRDefault="00484B6B" w:rsidP="00AC47B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hAnsi="Times New Roman" w:cs="Times New Roman"/>
                <w:b/>
                <w:sz w:val="24"/>
                <w:szCs w:val="24"/>
              </w:rPr>
              <w:t>Olga García Norato</w:t>
            </w:r>
          </w:p>
        </w:tc>
        <w:tc>
          <w:tcPr>
            <w:tcW w:w="157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FA5A84" w:rsidRDefault="005E4A4C" w:rsidP="00163C23">
            <w:pPr>
              <w:jc w:val="both"/>
              <w:rPr>
                <w:rFonts w:ascii="Times New Roman" w:hAnsi="Times New Roman" w:cs="Times New Roman"/>
              </w:rPr>
            </w:pPr>
            <w:hyperlink r:id="rId11" w:history="1">
              <w:r w:rsidR="00484B6B" w:rsidRPr="00FA5A84">
                <w:rPr>
                  <w:rStyle w:val="Hipervnculo"/>
                  <w:rFonts w:ascii="Times New Roman" w:hAnsi="Times New Roman" w:cs="Times New Roman"/>
                </w:rPr>
                <w:t>http://scienti.colciencias.gov.co:8081/cvlac/visualizador/generarCurriculoCv.do?cod_rh=0000655074</w:t>
              </w:r>
            </w:hyperlink>
          </w:p>
        </w:tc>
        <w:tc>
          <w:tcPr>
            <w:tcW w:w="14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B6B" w:rsidRPr="00FA5A84" w:rsidRDefault="005E4A4C" w:rsidP="00484B6B">
            <w:pPr>
              <w:jc w:val="both"/>
              <w:rPr>
                <w:rFonts w:ascii="Times New Roman" w:hAnsi="Times New Roman" w:cs="Times New Roman"/>
                <w:b/>
                <w:sz w:val="24"/>
                <w:szCs w:val="24"/>
                <w:lang w:val="en-US"/>
              </w:rPr>
            </w:pPr>
            <w:hyperlink r:id="rId12" w:history="1">
              <w:r w:rsidR="00484B6B" w:rsidRPr="00FA5A84">
                <w:rPr>
                  <w:rStyle w:val="Hipervnculo"/>
                  <w:rFonts w:ascii="Times New Roman" w:hAnsi="Times New Roman" w:cs="Times New Roman"/>
                  <w:lang w:val="en-US"/>
                </w:rPr>
                <w:t>https://orcid.org/0000-0003-4719-3033</w:t>
              </w:r>
            </w:hyperlink>
          </w:p>
          <w:p w:rsidR="00AC47BF" w:rsidRPr="00FA5A84" w:rsidRDefault="00AC47BF" w:rsidP="00AC47B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p>
        </w:tc>
        <w:tc>
          <w:tcPr>
            <w:tcW w:w="12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FA5A84" w:rsidRDefault="005E4A4C" w:rsidP="00AC47B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hyperlink r:id="rId13" w:history="1">
              <w:r w:rsidR="00484B6B" w:rsidRPr="00FA5A84">
                <w:rPr>
                  <w:rStyle w:val="Hipervnculo"/>
                  <w:rFonts w:ascii="Times New Roman" w:hAnsi="Times New Roman" w:cs="Times New Roman"/>
                  <w:lang w:val="en-US"/>
                </w:rPr>
                <w:t>https://scholar.google.es/citations?user=kRtWe3oAAAAJ&amp;hl=es&amp;oi=ao</w:t>
              </w:r>
            </w:hyperlink>
          </w:p>
        </w:tc>
      </w:tr>
      <w:tr w:rsidR="00484B6B" w:rsidRPr="00FA5A84" w:rsidTr="00484B6B">
        <w:trPr>
          <w:trHeight w:val="536"/>
        </w:trPr>
        <w:tc>
          <w:tcPr>
            <w:tcW w:w="75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FA5A84"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División</w:t>
            </w:r>
          </w:p>
        </w:tc>
        <w:tc>
          <w:tcPr>
            <w:tcW w:w="157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FA5A84"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Facultad</w:t>
            </w:r>
          </w:p>
        </w:tc>
        <w:tc>
          <w:tcPr>
            <w:tcW w:w="140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FA5A84"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Programa</w:t>
            </w:r>
          </w:p>
        </w:tc>
        <w:tc>
          <w:tcPr>
            <w:tcW w:w="127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FA5A84"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Grupo de investigación</w:t>
            </w:r>
          </w:p>
        </w:tc>
      </w:tr>
      <w:tr w:rsidR="00484B6B" w:rsidRPr="00FA5A84" w:rsidTr="00484B6B">
        <w:trPr>
          <w:trHeight w:val="536"/>
        </w:trPr>
        <w:tc>
          <w:tcPr>
            <w:tcW w:w="7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FA5A84" w:rsidRDefault="00484B6B"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Ciencias Económicas y Administrativas</w:t>
            </w:r>
          </w:p>
        </w:tc>
        <w:tc>
          <w:tcPr>
            <w:tcW w:w="157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FA5A84" w:rsidRDefault="00484B6B"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Economía</w:t>
            </w:r>
          </w:p>
        </w:tc>
        <w:tc>
          <w:tcPr>
            <w:tcW w:w="14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FA5A84" w:rsidRDefault="00484B6B"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Maestría en Ciencias Económicas</w:t>
            </w:r>
          </w:p>
        </w:tc>
        <w:tc>
          <w:tcPr>
            <w:tcW w:w="12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FA5A84" w:rsidRDefault="00484B6B"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Economía y Humanismo</w:t>
            </w:r>
          </w:p>
        </w:tc>
      </w:tr>
      <w:tr w:rsidR="00484B6B" w:rsidRPr="00FA5A84" w:rsidTr="00484B6B">
        <w:trPr>
          <w:trHeight w:val="536"/>
        </w:trPr>
        <w:tc>
          <w:tcPr>
            <w:tcW w:w="75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FA5A84" w:rsidRDefault="00E6008D" w:rsidP="00E6008D">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lastRenderedPageBreak/>
              <w:t xml:space="preserve">Nombre del Co-investigador </w:t>
            </w:r>
          </w:p>
        </w:tc>
        <w:tc>
          <w:tcPr>
            <w:tcW w:w="157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FA5A84" w:rsidRDefault="00E6008D"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 xml:space="preserve">Enlace </w:t>
            </w:r>
            <w:proofErr w:type="spellStart"/>
            <w:r w:rsidRPr="00FA5A84">
              <w:rPr>
                <w:rFonts w:ascii="Times New Roman" w:eastAsia="Times New Roman" w:hAnsi="Times New Roman" w:cs="Times New Roman"/>
                <w:b/>
                <w:bCs/>
                <w:color w:val="222222"/>
                <w:sz w:val="24"/>
                <w:szCs w:val="24"/>
                <w:lang w:eastAsia="es-CO"/>
              </w:rPr>
              <w:t>CvLAC</w:t>
            </w:r>
            <w:proofErr w:type="spellEnd"/>
          </w:p>
        </w:tc>
        <w:tc>
          <w:tcPr>
            <w:tcW w:w="140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FA5A84" w:rsidRDefault="00E6008D"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Enlace ORCID</w:t>
            </w:r>
          </w:p>
        </w:tc>
        <w:tc>
          <w:tcPr>
            <w:tcW w:w="127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FA5A84" w:rsidRDefault="00E6008D"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Enlace Google Académico</w:t>
            </w:r>
          </w:p>
        </w:tc>
      </w:tr>
      <w:tr w:rsidR="00484B6B" w:rsidRPr="00FA5A84" w:rsidTr="00484B6B">
        <w:trPr>
          <w:trHeight w:val="536"/>
        </w:trPr>
        <w:tc>
          <w:tcPr>
            <w:tcW w:w="7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A5A84" w:rsidRDefault="00484B6B"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hAnsi="Times New Roman" w:cs="Times New Roman"/>
                <w:b/>
                <w:sz w:val="24"/>
                <w:szCs w:val="24"/>
              </w:rPr>
              <w:t>Álvaro Andrés Vernazza Páez</w:t>
            </w:r>
          </w:p>
        </w:tc>
        <w:tc>
          <w:tcPr>
            <w:tcW w:w="157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A5A84" w:rsidRDefault="005E4A4C"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hyperlink r:id="rId14" w:tgtFrame="_blank" w:history="1">
              <w:r w:rsidR="00484B6B" w:rsidRPr="00FA5A84">
                <w:rPr>
                  <w:rStyle w:val="Hipervnculo"/>
                  <w:rFonts w:ascii="Times New Roman" w:hAnsi="Times New Roman" w:cs="Times New Roman"/>
                  <w:color w:val="1155CC"/>
                  <w:shd w:val="clear" w:color="auto" w:fill="FFFFFF"/>
                </w:rPr>
                <w:t>http://scienti.colciencias.gov.co:8081/cvlac/visualizador/generarCurriculoCv.do?cod_rh=0000547557</w:t>
              </w:r>
            </w:hyperlink>
          </w:p>
        </w:tc>
        <w:tc>
          <w:tcPr>
            <w:tcW w:w="14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84B6B" w:rsidRPr="00FA5A84" w:rsidRDefault="005E4A4C" w:rsidP="00484B6B">
            <w:pPr>
              <w:jc w:val="both"/>
              <w:rPr>
                <w:rFonts w:ascii="Times New Roman" w:hAnsi="Times New Roman" w:cs="Times New Roman"/>
                <w:b/>
                <w:lang w:val="en-US"/>
              </w:rPr>
            </w:pPr>
            <w:hyperlink r:id="rId15" w:tgtFrame="_blank" w:history="1">
              <w:r w:rsidR="00484B6B" w:rsidRPr="00FA5A84">
                <w:rPr>
                  <w:rStyle w:val="Hipervnculo"/>
                  <w:rFonts w:ascii="Times New Roman" w:hAnsi="Times New Roman" w:cs="Times New Roman"/>
                  <w:color w:val="1155CC"/>
                  <w:shd w:val="clear" w:color="auto" w:fill="FFFFFF"/>
                </w:rPr>
                <w:t>https://orcid.org/0000-0003-2544-9034</w:t>
              </w:r>
            </w:hyperlink>
            <w:r w:rsidR="00484B6B" w:rsidRPr="00FA5A84">
              <w:rPr>
                <w:rFonts w:ascii="Times New Roman" w:hAnsi="Times New Roman" w:cs="Times New Roman"/>
                <w:color w:val="222222"/>
                <w:shd w:val="clear" w:color="auto" w:fill="FFFFFF"/>
              </w:rPr>
              <w:t> </w:t>
            </w:r>
          </w:p>
          <w:p w:rsidR="00E6008D" w:rsidRPr="00FA5A84" w:rsidRDefault="00E6008D"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p>
        </w:tc>
        <w:tc>
          <w:tcPr>
            <w:tcW w:w="12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A5A84" w:rsidRDefault="005E4A4C"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hyperlink r:id="rId16" w:tgtFrame="_blank" w:history="1">
              <w:r w:rsidR="00484B6B" w:rsidRPr="00FA5A84">
                <w:rPr>
                  <w:rStyle w:val="Hipervnculo"/>
                  <w:rFonts w:ascii="Times New Roman" w:hAnsi="Times New Roman" w:cs="Times New Roman"/>
                  <w:color w:val="1155CC"/>
                  <w:shd w:val="clear" w:color="auto" w:fill="FFFFFF"/>
                </w:rPr>
                <w:t>https://scholar.google.es/citations?user=atrZHX0AAAAJ&amp;hl=es</w:t>
              </w:r>
            </w:hyperlink>
            <w:r w:rsidR="00484B6B" w:rsidRPr="00FA5A84">
              <w:rPr>
                <w:rFonts w:ascii="Times New Roman" w:hAnsi="Times New Roman" w:cs="Times New Roman"/>
                <w:color w:val="222222"/>
                <w:shd w:val="clear" w:color="auto" w:fill="FFFFFF"/>
              </w:rPr>
              <w:t> </w:t>
            </w:r>
          </w:p>
        </w:tc>
      </w:tr>
      <w:tr w:rsidR="00484B6B" w:rsidRPr="00FA5A84" w:rsidTr="00484B6B">
        <w:trPr>
          <w:trHeight w:val="536"/>
        </w:trPr>
        <w:tc>
          <w:tcPr>
            <w:tcW w:w="7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A5A84" w:rsidRDefault="00E6008D"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División</w:t>
            </w:r>
          </w:p>
        </w:tc>
        <w:tc>
          <w:tcPr>
            <w:tcW w:w="157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A5A84" w:rsidRDefault="00E6008D"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Facultad</w:t>
            </w:r>
          </w:p>
        </w:tc>
        <w:tc>
          <w:tcPr>
            <w:tcW w:w="14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A5A84" w:rsidRDefault="00E6008D"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Programa</w:t>
            </w:r>
          </w:p>
        </w:tc>
        <w:tc>
          <w:tcPr>
            <w:tcW w:w="12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A5A84" w:rsidRDefault="00E6008D"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Grupo de investigación</w:t>
            </w:r>
          </w:p>
        </w:tc>
      </w:tr>
      <w:tr w:rsidR="00484B6B" w:rsidRPr="00FA5A84" w:rsidTr="00484B6B">
        <w:trPr>
          <w:trHeight w:val="536"/>
        </w:trPr>
        <w:tc>
          <w:tcPr>
            <w:tcW w:w="7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A5A84" w:rsidRDefault="00484B6B"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Ciencias Económicas y Administrativas</w:t>
            </w:r>
          </w:p>
        </w:tc>
        <w:tc>
          <w:tcPr>
            <w:tcW w:w="157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A5A84" w:rsidRDefault="00484B6B"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Economía</w:t>
            </w:r>
          </w:p>
        </w:tc>
        <w:tc>
          <w:tcPr>
            <w:tcW w:w="14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A5A84" w:rsidRDefault="00484B6B"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Maestría en Ciencias Económicas</w:t>
            </w:r>
          </w:p>
        </w:tc>
        <w:tc>
          <w:tcPr>
            <w:tcW w:w="12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A5A84" w:rsidRDefault="00484B6B"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Economía y Humanismo</w:t>
            </w:r>
          </w:p>
        </w:tc>
      </w:tr>
    </w:tbl>
    <w:p w:rsidR="002A18AF" w:rsidRPr="00FA5A84" w:rsidRDefault="002A18AF" w:rsidP="002A18AF">
      <w:pPr>
        <w:spacing w:after="0" w:line="240" w:lineRule="auto"/>
        <w:rPr>
          <w:rFonts w:ascii="Times New Roman" w:eastAsia="Times New Roman" w:hAnsi="Times New Roman" w:cs="Times New Roman"/>
          <w:vanish/>
          <w:sz w:val="24"/>
          <w:szCs w:val="24"/>
          <w:lang w:eastAsia="es-CO"/>
        </w:rPr>
      </w:pPr>
    </w:p>
    <w:p w:rsidR="002A18AF" w:rsidRPr="00FA5A84" w:rsidRDefault="002A18AF" w:rsidP="002A18AF">
      <w:pPr>
        <w:spacing w:after="0" w:line="240" w:lineRule="auto"/>
        <w:rPr>
          <w:rFonts w:ascii="Times New Roman" w:eastAsia="Times New Roman" w:hAnsi="Times New Roman" w:cs="Times New Roman"/>
          <w:vanish/>
          <w:sz w:val="24"/>
          <w:szCs w:val="24"/>
          <w:lang w:eastAsia="es-CO"/>
        </w:rPr>
      </w:pPr>
    </w:p>
    <w:p w:rsidR="002A18AF" w:rsidRPr="00FA5A84"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7491"/>
        <w:gridCol w:w="7492"/>
      </w:tblGrid>
      <w:tr w:rsidR="002A18AF" w:rsidRPr="00FA5A84"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A5A84"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A5A84"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Palabras clave</w:t>
            </w:r>
          </w:p>
        </w:tc>
      </w:tr>
      <w:tr w:rsidR="002A18AF" w:rsidRPr="00FA5A84"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FA5A84" w:rsidRDefault="003715BD" w:rsidP="003715BD">
            <w:pPr>
              <w:spacing w:after="0" w:line="240"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xml:space="preserve">Se </w:t>
            </w:r>
            <w:r w:rsidR="00484B6B" w:rsidRPr="00FA5A84">
              <w:rPr>
                <w:rFonts w:ascii="Times New Roman" w:eastAsia="Times New Roman" w:hAnsi="Times New Roman" w:cs="Times New Roman"/>
                <w:color w:val="222222"/>
                <w:sz w:val="24"/>
                <w:szCs w:val="24"/>
                <w:lang w:eastAsia="es-CO"/>
              </w:rPr>
              <w:t xml:space="preserve">busca </w:t>
            </w:r>
            <w:r>
              <w:rPr>
                <w:rFonts w:ascii="Times New Roman" w:eastAsia="Times New Roman" w:hAnsi="Times New Roman" w:cs="Times New Roman"/>
                <w:color w:val="222222"/>
                <w:sz w:val="24"/>
                <w:szCs w:val="24"/>
                <w:lang w:eastAsia="es-CO"/>
              </w:rPr>
              <w:t xml:space="preserve">diseñar una </w:t>
            </w:r>
            <w:r w:rsidR="00484B6B" w:rsidRPr="00FA5A84">
              <w:rPr>
                <w:rFonts w:ascii="Times New Roman" w:eastAsia="Times New Roman" w:hAnsi="Times New Roman" w:cs="Times New Roman"/>
                <w:color w:val="222222"/>
                <w:sz w:val="24"/>
                <w:szCs w:val="24"/>
                <w:lang w:eastAsia="es-CO"/>
              </w:rPr>
              <w:t>estrategia de densificación en áreas con potencial normativo y económico para el mayor aprovechamiento del suelo, como una forma de disminuir el déficit habitacional en Bogotá</w:t>
            </w: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A5A84" w:rsidRDefault="00484B6B">
            <w:pPr>
              <w:spacing w:after="0" w:line="240" w:lineRule="auto"/>
              <w:jc w:val="both"/>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Vivienda, Déficit Habitacional, Densificación</w:t>
            </w:r>
          </w:p>
        </w:tc>
      </w:tr>
    </w:tbl>
    <w:p w:rsidR="002A18AF" w:rsidRPr="00FA5A84"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RPr="00FA5A84"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A5A84" w:rsidRDefault="00E6008D" w:rsidP="00E6008D">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P</w:t>
            </w:r>
            <w:r w:rsidR="002A18AF" w:rsidRPr="00FA5A84">
              <w:rPr>
                <w:rFonts w:ascii="Times New Roman" w:eastAsia="Times New Roman" w:hAnsi="Times New Roman" w:cs="Times New Roman"/>
                <w:b/>
                <w:bCs/>
                <w:color w:val="222222"/>
                <w:sz w:val="24"/>
                <w:szCs w:val="24"/>
                <w:lang w:eastAsia="es-CO"/>
              </w:rPr>
              <w:t>roblema de investigación</w:t>
            </w:r>
          </w:p>
        </w:tc>
      </w:tr>
      <w:tr w:rsidR="002A18AF" w:rsidRPr="00FA5A84"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484B6B" w:rsidRPr="00FA5A84" w:rsidRDefault="00484B6B" w:rsidP="00484B6B">
            <w:pPr>
              <w:jc w:val="both"/>
              <w:rPr>
                <w:rFonts w:ascii="Times New Roman" w:hAnsi="Times New Roman" w:cs="Times New Roman"/>
                <w:sz w:val="24"/>
                <w:szCs w:val="24"/>
              </w:rPr>
            </w:pPr>
            <w:r w:rsidRPr="00FA5A84">
              <w:rPr>
                <w:rFonts w:ascii="Times New Roman" w:hAnsi="Times New Roman" w:cs="Times New Roman"/>
                <w:sz w:val="24"/>
                <w:szCs w:val="24"/>
              </w:rPr>
              <w:t>En Bogotá se ha</w:t>
            </w:r>
            <w:r w:rsidR="003715BD">
              <w:rPr>
                <w:rFonts w:ascii="Times New Roman" w:hAnsi="Times New Roman" w:cs="Times New Roman"/>
                <w:sz w:val="24"/>
                <w:szCs w:val="24"/>
              </w:rPr>
              <w:t>n</w:t>
            </w:r>
            <w:r w:rsidRPr="00FA5A84">
              <w:rPr>
                <w:rFonts w:ascii="Times New Roman" w:hAnsi="Times New Roman" w:cs="Times New Roman"/>
                <w:sz w:val="24"/>
                <w:szCs w:val="24"/>
              </w:rPr>
              <w:t xml:space="preserve"> puesto de manifiesto dos problemáticas relacionadas: la escasez de suelo en el perímetro urbano vigente y el déficit </w:t>
            </w:r>
            <w:r w:rsidR="003715BD">
              <w:rPr>
                <w:rFonts w:ascii="Times New Roman" w:hAnsi="Times New Roman" w:cs="Times New Roman"/>
                <w:sz w:val="24"/>
                <w:szCs w:val="24"/>
              </w:rPr>
              <w:t>de vivienda</w:t>
            </w:r>
            <w:r w:rsidRPr="00FA5A84">
              <w:rPr>
                <w:rFonts w:ascii="Times New Roman" w:hAnsi="Times New Roman" w:cs="Times New Roman"/>
                <w:sz w:val="24"/>
                <w:szCs w:val="24"/>
              </w:rPr>
              <w:t>, que afecta de manera particular a los segmentos poblacionales de bajos ingresos. Según la encuesta multipropósito aplicada por el DANE en el año 2014, la ciudad contaba con 2.4</w:t>
            </w:r>
            <w:r w:rsidR="003715BD">
              <w:rPr>
                <w:rFonts w:ascii="Times New Roman" w:hAnsi="Times New Roman" w:cs="Times New Roman"/>
                <w:sz w:val="24"/>
                <w:szCs w:val="24"/>
              </w:rPr>
              <w:t xml:space="preserve"> millones de </w:t>
            </w:r>
            <w:r w:rsidRPr="00FA5A84">
              <w:rPr>
                <w:rFonts w:ascii="Times New Roman" w:hAnsi="Times New Roman" w:cs="Times New Roman"/>
                <w:sz w:val="24"/>
                <w:szCs w:val="24"/>
              </w:rPr>
              <w:t>hogares y con 2.3</w:t>
            </w:r>
            <w:r w:rsidR="003715BD">
              <w:rPr>
                <w:rFonts w:ascii="Times New Roman" w:hAnsi="Times New Roman" w:cs="Times New Roman"/>
                <w:sz w:val="24"/>
                <w:szCs w:val="24"/>
              </w:rPr>
              <w:t xml:space="preserve"> millones unidades de </w:t>
            </w:r>
            <w:r w:rsidRPr="00FA5A84">
              <w:rPr>
                <w:rFonts w:ascii="Times New Roman" w:hAnsi="Times New Roman" w:cs="Times New Roman"/>
                <w:sz w:val="24"/>
                <w:szCs w:val="24"/>
              </w:rPr>
              <w:t>vivienda. Del total de hogares, el 9,1% (</w:t>
            </w:r>
            <w:r w:rsidR="003715BD">
              <w:rPr>
                <w:rFonts w:ascii="Times New Roman" w:hAnsi="Times New Roman" w:cs="Times New Roman"/>
                <w:sz w:val="24"/>
                <w:szCs w:val="24"/>
              </w:rPr>
              <w:t xml:space="preserve">cerca de </w:t>
            </w:r>
            <w:r w:rsidRPr="00FA5A84">
              <w:rPr>
                <w:rFonts w:ascii="Times New Roman" w:hAnsi="Times New Roman" w:cs="Times New Roman"/>
                <w:sz w:val="24"/>
                <w:szCs w:val="24"/>
              </w:rPr>
              <w:t>22</w:t>
            </w:r>
            <w:r w:rsidR="003715BD">
              <w:rPr>
                <w:rFonts w:ascii="Times New Roman" w:hAnsi="Times New Roman" w:cs="Times New Roman"/>
                <w:sz w:val="24"/>
                <w:szCs w:val="24"/>
              </w:rPr>
              <w:t>1 mil</w:t>
            </w:r>
            <w:r w:rsidRPr="00FA5A84">
              <w:rPr>
                <w:rFonts w:ascii="Times New Roman" w:hAnsi="Times New Roman" w:cs="Times New Roman"/>
                <w:sz w:val="24"/>
                <w:szCs w:val="24"/>
              </w:rPr>
              <w:t xml:space="preserve">) </w:t>
            </w:r>
            <w:r w:rsidR="003715BD">
              <w:rPr>
                <w:rFonts w:ascii="Times New Roman" w:hAnsi="Times New Roman" w:cs="Times New Roman"/>
                <w:sz w:val="24"/>
                <w:szCs w:val="24"/>
              </w:rPr>
              <w:t xml:space="preserve">registraba </w:t>
            </w:r>
            <w:r w:rsidRPr="00FA5A84">
              <w:rPr>
                <w:rFonts w:ascii="Times New Roman" w:hAnsi="Times New Roman" w:cs="Times New Roman"/>
                <w:sz w:val="24"/>
                <w:szCs w:val="24"/>
              </w:rPr>
              <w:t>alg</w:t>
            </w:r>
            <w:r w:rsidR="003715BD">
              <w:rPr>
                <w:rFonts w:ascii="Times New Roman" w:hAnsi="Times New Roman" w:cs="Times New Roman"/>
                <w:sz w:val="24"/>
                <w:szCs w:val="24"/>
              </w:rPr>
              <w:t xml:space="preserve">una </w:t>
            </w:r>
            <w:r w:rsidRPr="00FA5A84">
              <w:rPr>
                <w:rFonts w:ascii="Times New Roman" w:hAnsi="Times New Roman" w:cs="Times New Roman"/>
                <w:sz w:val="24"/>
                <w:szCs w:val="24"/>
              </w:rPr>
              <w:t xml:space="preserve">carencia </w:t>
            </w:r>
            <w:r w:rsidR="003715BD">
              <w:rPr>
                <w:rFonts w:ascii="Times New Roman" w:hAnsi="Times New Roman" w:cs="Times New Roman"/>
                <w:sz w:val="24"/>
                <w:szCs w:val="24"/>
              </w:rPr>
              <w:t>en las condiciones de la vivienda</w:t>
            </w:r>
            <w:r w:rsidRPr="00FA5A84">
              <w:rPr>
                <w:rFonts w:ascii="Times New Roman" w:hAnsi="Times New Roman" w:cs="Times New Roman"/>
                <w:sz w:val="24"/>
                <w:szCs w:val="24"/>
              </w:rPr>
              <w:t>. De éstos, el 3,6% estaban en déficit cuantitativo (población que requeriría una nueva vivienda), y el 5,5% se encontraba en déficit cualitativo (población que necesita mejorar las condiciones materiales de la vivienda).</w:t>
            </w:r>
          </w:p>
          <w:p w:rsidR="00484B6B" w:rsidRPr="00FA5A84" w:rsidRDefault="00484B6B" w:rsidP="00484B6B">
            <w:pPr>
              <w:jc w:val="both"/>
              <w:rPr>
                <w:rFonts w:ascii="Times New Roman" w:hAnsi="Times New Roman" w:cs="Times New Roman"/>
                <w:sz w:val="24"/>
                <w:szCs w:val="24"/>
              </w:rPr>
            </w:pPr>
            <w:r w:rsidRPr="00FA5A84">
              <w:rPr>
                <w:rFonts w:ascii="Times New Roman" w:hAnsi="Times New Roman" w:cs="Times New Roman"/>
                <w:sz w:val="24"/>
                <w:szCs w:val="24"/>
              </w:rPr>
              <w:t xml:space="preserve">Un análisis del déficit cuantitativo indica que el hacinamiento no mitigable es la carencia que reporta la mayor participación, con el 53%; en otros términos, se refiere a hogares cuyo tamaño es de 4 o más personas por dormitorio. La cohabitación es otra de las particularidades del déficit cuantitativo: con una participación del 34%: se refiere a hogares secundarios u hogares allegados que no tienen una vivienda para su propio uso. Finalmente, el déficit cuantitativo hace referencia a las carencias estructurales de la vivienda: unidades </w:t>
            </w:r>
            <w:r w:rsidR="003715BD">
              <w:rPr>
                <w:rFonts w:ascii="Times New Roman" w:hAnsi="Times New Roman" w:cs="Times New Roman"/>
                <w:sz w:val="24"/>
                <w:szCs w:val="24"/>
              </w:rPr>
              <w:t>cuyas características deficitarias se refieren a la calidad de los materiales, por lo general precarios</w:t>
            </w:r>
            <w:r w:rsidRPr="00FA5A84">
              <w:rPr>
                <w:rFonts w:ascii="Times New Roman" w:hAnsi="Times New Roman" w:cs="Times New Roman"/>
                <w:sz w:val="24"/>
                <w:szCs w:val="24"/>
              </w:rPr>
              <w:t xml:space="preserve">, los cuales representan el 13% dentro del total en déficit cuantitativo. El hacinamiento no mitigable y la cohabitación, constituyen la principal incidencia por nuevas viviendas (déficit cuantitativo).  </w:t>
            </w:r>
          </w:p>
          <w:p w:rsidR="00E6008D" w:rsidRPr="00FA5A84" w:rsidRDefault="00484B6B" w:rsidP="00484B6B">
            <w:pPr>
              <w:jc w:val="both"/>
              <w:rPr>
                <w:rFonts w:ascii="Times New Roman" w:hAnsi="Times New Roman" w:cs="Times New Roman"/>
                <w:sz w:val="24"/>
                <w:szCs w:val="24"/>
              </w:rPr>
            </w:pPr>
            <w:r w:rsidRPr="00FA5A84">
              <w:rPr>
                <w:rFonts w:ascii="Times New Roman" w:hAnsi="Times New Roman" w:cs="Times New Roman"/>
                <w:sz w:val="24"/>
                <w:szCs w:val="24"/>
              </w:rPr>
              <w:t xml:space="preserve">De otra parte, Bogotá presenta amplias áreas consolidadas urbanísticamente en las localidades, muchas de ellas que fueron en el pasado asentamientos informales que se fueron legalizando con el tiempo. Esos asentamientos registran déficit de atributos urbanos, entendidos como las vías y el espacio público, esencialmente y presentan un bajo aprovechamiento del suelo. Esas áreas que pueden representar cerca del 60% de la ciudad urbana, constituye en la actualidad un enorme potencial para su aprovechamiento mediante la construcción en altura, y por tanto para la construcción de vivienda. Tal </w:t>
            </w:r>
            <w:r w:rsidRPr="00FA5A84">
              <w:rPr>
                <w:rFonts w:ascii="Times New Roman" w:hAnsi="Times New Roman" w:cs="Times New Roman"/>
                <w:sz w:val="24"/>
                <w:szCs w:val="24"/>
              </w:rPr>
              <w:lastRenderedPageBreak/>
              <w:t xml:space="preserve">oportunidad sería un mecanismo de la ciudad para disminuir el déficit habitacional.  </w:t>
            </w:r>
          </w:p>
        </w:tc>
      </w:tr>
    </w:tbl>
    <w:p w:rsidR="002A18AF" w:rsidRPr="00FA5A84"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RPr="00FA5A84"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A5A84"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Justificación</w:t>
            </w:r>
          </w:p>
        </w:tc>
      </w:tr>
      <w:tr w:rsidR="002A18AF" w:rsidRPr="00FA5A84"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369EC" w:rsidRPr="00FA5A84" w:rsidRDefault="000B034B" w:rsidP="002369EC">
            <w:pPr>
              <w:jc w:val="both"/>
              <w:rPr>
                <w:rFonts w:ascii="Times New Roman" w:hAnsi="Times New Roman" w:cs="Times New Roman"/>
                <w:sz w:val="24"/>
                <w:szCs w:val="24"/>
                <w:lang w:eastAsia="es-MX"/>
              </w:rPr>
            </w:pPr>
            <w:r>
              <w:rPr>
                <w:rFonts w:ascii="Times New Roman" w:hAnsi="Times New Roman" w:cs="Times New Roman"/>
                <w:sz w:val="24"/>
                <w:szCs w:val="24"/>
                <w:lang w:val="es-MX" w:eastAsia="es-MX"/>
              </w:rPr>
              <w:t xml:space="preserve">Lo corriente en la actualidad en las ciudades, es que ellas cuentan con normas relacionadas que reglamentan el uso del suelo y establecen los criterios de las transacciones </w:t>
            </w:r>
            <w:r w:rsidR="00591398">
              <w:rPr>
                <w:rFonts w:ascii="Times New Roman" w:hAnsi="Times New Roman" w:cs="Times New Roman"/>
                <w:sz w:val="24"/>
                <w:szCs w:val="24"/>
                <w:lang w:val="es-MX" w:eastAsia="es-MX"/>
              </w:rPr>
              <w:t xml:space="preserve">de los bienes inmobiliarios, así como </w:t>
            </w:r>
            <w:r w:rsidR="002369EC" w:rsidRPr="00FA5A84">
              <w:rPr>
                <w:rFonts w:ascii="Times New Roman" w:hAnsi="Times New Roman" w:cs="Times New Roman"/>
                <w:sz w:val="24"/>
                <w:szCs w:val="24"/>
                <w:lang w:eastAsia="es-MX"/>
              </w:rPr>
              <w:t xml:space="preserve">programas de vivienda </w:t>
            </w:r>
            <w:r w:rsidR="00591398">
              <w:rPr>
                <w:rFonts w:ascii="Times New Roman" w:hAnsi="Times New Roman" w:cs="Times New Roman"/>
                <w:sz w:val="24"/>
                <w:szCs w:val="24"/>
                <w:lang w:eastAsia="es-MX"/>
              </w:rPr>
              <w:t>para atender la demanda de vivienda de la población con bajos ingresos</w:t>
            </w:r>
            <w:r w:rsidR="002369EC" w:rsidRPr="00FA5A84">
              <w:rPr>
                <w:rFonts w:ascii="Times New Roman" w:hAnsi="Times New Roman" w:cs="Times New Roman"/>
                <w:sz w:val="24"/>
                <w:szCs w:val="24"/>
                <w:lang w:eastAsia="es-MX"/>
              </w:rPr>
              <w:t>.</w:t>
            </w:r>
            <w:r w:rsidR="00591398" w:rsidRPr="00FA5A84">
              <w:rPr>
                <w:rFonts w:ascii="Times New Roman" w:hAnsi="Times New Roman" w:cs="Times New Roman"/>
                <w:sz w:val="24"/>
                <w:szCs w:val="24"/>
                <w:lang w:eastAsia="es-MX"/>
              </w:rPr>
              <w:t xml:space="preserve"> </w:t>
            </w:r>
            <w:r w:rsidR="00591398">
              <w:rPr>
                <w:rFonts w:ascii="Times New Roman" w:hAnsi="Times New Roman" w:cs="Times New Roman"/>
                <w:sz w:val="24"/>
                <w:szCs w:val="24"/>
                <w:lang w:eastAsia="es-MX"/>
              </w:rPr>
              <w:t xml:space="preserve">En la actualidad, </w:t>
            </w:r>
            <w:r w:rsidR="002369EC" w:rsidRPr="00FA5A84">
              <w:rPr>
                <w:rFonts w:ascii="Times New Roman" w:hAnsi="Times New Roman" w:cs="Times New Roman"/>
                <w:sz w:val="24"/>
                <w:szCs w:val="24"/>
                <w:lang w:eastAsia="es-MX"/>
              </w:rPr>
              <w:t>Bogotá</w:t>
            </w:r>
            <w:r w:rsidR="00591398">
              <w:rPr>
                <w:rFonts w:ascii="Times New Roman" w:hAnsi="Times New Roman" w:cs="Times New Roman"/>
                <w:sz w:val="24"/>
                <w:szCs w:val="24"/>
                <w:lang w:eastAsia="es-MX"/>
              </w:rPr>
              <w:t xml:space="preserve"> echa de menos </w:t>
            </w:r>
            <w:r w:rsidR="002369EC" w:rsidRPr="00FA5A84">
              <w:rPr>
                <w:rFonts w:ascii="Times New Roman" w:hAnsi="Times New Roman" w:cs="Times New Roman"/>
                <w:sz w:val="24"/>
                <w:szCs w:val="24"/>
                <w:lang w:eastAsia="es-MX"/>
              </w:rPr>
              <w:t xml:space="preserve">una estrategia para disminuir de manera real y efectiva el déficit habitacional, de manera particular haciendo un uso intensivo del suelo en áreas que se fueron consolidando de manera precaria en materia de servicios de infraestructura y espacio público. La escasez de suelo para vivienda ha sido un argumento que se ha utilizado como explicativo de la inefectividad de las políticas de vivienda en la disminución del déficit habitacional. Por tanto, la propuesta de investigación que se presenta aquí, se </w:t>
            </w:r>
            <w:r w:rsidR="00D24C52">
              <w:rPr>
                <w:rFonts w:ascii="Times New Roman" w:hAnsi="Times New Roman" w:cs="Times New Roman"/>
                <w:sz w:val="24"/>
                <w:szCs w:val="24"/>
                <w:lang w:eastAsia="es-MX"/>
              </w:rPr>
              <w:t xml:space="preserve">encamina a proponer </w:t>
            </w:r>
            <w:r w:rsidR="002369EC" w:rsidRPr="00FA5A84">
              <w:rPr>
                <w:rFonts w:ascii="Times New Roman" w:hAnsi="Times New Roman" w:cs="Times New Roman"/>
                <w:sz w:val="24"/>
                <w:szCs w:val="24"/>
                <w:lang w:eastAsia="es-MX"/>
              </w:rPr>
              <w:t xml:space="preserve">una estrategia de intervención en dichas áreas con potencial de uso </w:t>
            </w:r>
            <w:r w:rsidR="00807F9C">
              <w:rPr>
                <w:rFonts w:ascii="Times New Roman" w:hAnsi="Times New Roman" w:cs="Times New Roman"/>
                <w:sz w:val="24"/>
                <w:szCs w:val="24"/>
                <w:lang w:eastAsia="es-MX"/>
              </w:rPr>
              <w:t xml:space="preserve">intensivo </w:t>
            </w:r>
            <w:r w:rsidR="002369EC" w:rsidRPr="00FA5A84">
              <w:rPr>
                <w:rFonts w:ascii="Times New Roman" w:hAnsi="Times New Roman" w:cs="Times New Roman"/>
                <w:sz w:val="24"/>
                <w:szCs w:val="24"/>
                <w:lang w:eastAsia="es-MX"/>
              </w:rPr>
              <w:t>del suelo</w:t>
            </w:r>
            <w:r w:rsidR="00807F9C">
              <w:rPr>
                <w:rFonts w:ascii="Times New Roman" w:hAnsi="Times New Roman" w:cs="Times New Roman"/>
                <w:sz w:val="24"/>
                <w:szCs w:val="24"/>
                <w:lang w:eastAsia="es-MX"/>
              </w:rPr>
              <w:t xml:space="preserve"> mediante la densificación en edificaciones residenciales, de comercio y servicios</w:t>
            </w:r>
            <w:r w:rsidR="002369EC" w:rsidRPr="00FA5A84">
              <w:rPr>
                <w:rFonts w:ascii="Times New Roman" w:hAnsi="Times New Roman" w:cs="Times New Roman"/>
                <w:sz w:val="24"/>
                <w:szCs w:val="24"/>
                <w:lang w:eastAsia="es-MX"/>
              </w:rPr>
              <w:t xml:space="preserve">, </w:t>
            </w:r>
            <w:r w:rsidR="00807F9C">
              <w:rPr>
                <w:rFonts w:ascii="Times New Roman" w:hAnsi="Times New Roman" w:cs="Times New Roman"/>
                <w:sz w:val="24"/>
                <w:szCs w:val="24"/>
                <w:lang w:eastAsia="es-MX"/>
              </w:rPr>
              <w:t xml:space="preserve">como una forma de </w:t>
            </w:r>
            <w:r w:rsidR="002369EC" w:rsidRPr="00FA5A84">
              <w:rPr>
                <w:rFonts w:ascii="Times New Roman" w:hAnsi="Times New Roman" w:cs="Times New Roman"/>
                <w:sz w:val="24"/>
                <w:szCs w:val="24"/>
                <w:lang w:eastAsia="es-MX"/>
              </w:rPr>
              <w:t>disminuir el déficit y atender las nuevas necesidades de vivienda a futuro. Como contexto se mencionan las siguientes particularidades de Bogotá:</w:t>
            </w:r>
          </w:p>
          <w:p w:rsidR="002369EC" w:rsidRPr="00FA5A84" w:rsidRDefault="00807F9C" w:rsidP="002369EC">
            <w:pPr>
              <w:numPr>
                <w:ilvl w:val="0"/>
                <w:numId w:val="3"/>
              </w:numPr>
              <w:spacing w:after="0" w:line="240" w:lineRule="auto"/>
              <w:ind w:left="714" w:hanging="357"/>
              <w:jc w:val="both"/>
              <w:rPr>
                <w:rFonts w:ascii="Times New Roman" w:hAnsi="Times New Roman" w:cs="Times New Roman"/>
                <w:sz w:val="24"/>
                <w:szCs w:val="24"/>
              </w:rPr>
            </w:pPr>
            <w:r>
              <w:rPr>
                <w:rFonts w:ascii="Times New Roman" w:hAnsi="Times New Roman" w:cs="Times New Roman"/>
                <w:sz w:val="24"/>
                <w:szCs w:val="24"/>
                <w:lang w:val="es-ES"/>
              </w:rPr>
              <w:t>Cerca de 50</w:t>
            </w:r>
            <w:r w:rsidR="002369EC" w:rsidRPr="00FA5A84">
              <w:rPr>
                <w:rFonts w:ascii="Times New Roman" w:hAnsi="Times New Roman" w:cs="Times New Roman"/>
                <w:sz w:val="24"/>
                <w:szCs w:val="24"/>
                <w:lang w:val="es-ES"/>
              </w:rPr>
              <w:t xml:space="preserve"> mil </w:t>
            </w:r>
            <w:r>
              <w:rPr>
                <w:rFonts w:ascii="Times New Roman" w:hAnsi="Times New Roman" w:cs="Times New Roman"/>
                <w:sz w:val="24"/>
                <w:szCs w:val="24"/>
                <w:lang w:val="es-ES"/>
              </w:rPr>
              <w:t>hogares surgen cada año</w:t>
            </w:r>
            <w:r w:rsidR="002369EC" w:rsidRPr="00FA5A84">
              <w:rPr>
                <w:rFonts w:ascii="Times New Roman" w:hAnsi="Times New Roman" w:cs="Times New Roman"/>
                <w:sz w:val="24"/>
                <w:szCs w:val="24"/>
                <w:lang w:val="es-ES"/>
              </w:rPr>
              <w:t>.</w:t>
            </w:r>
          </w:p>
          <w:p w:rsidR="002369EC" w:rsidRPr="00FA5A84" w:rsidRDefault="00807F9C" w:rsidP="002369EC">
            <w:pPr>
              <w:numPr>
                <w:ilvl w:val="0"/>
                <w:numId w:val="3"/>
              </w:numPr>
              <w:spacing w:after="0" w:line="240" w:lineRule="auto"/>
              <w:ind w:left="714" w:hanging="357"/>
              <w:jc w:val="both"/>
              <w:rPr>
                <w:rFonts w:ascii="Times New Roman" w:hAnsi="Times New Roman" w:cs="Times New Roman"/>
                <w:sz w:val="24"/>
                <w:szCs w:val="24"/>
              </w:rPr>
            </w:pPr>
            <w:r>
              <w:rPr>
                <w:rFonts w:ascii="Times New Roman" w:hAnsi="Times New Roman" w:cs="Times New Roman"/>
                <w:sz w:val="24"/>
                <w:szCs w:val="24"/>
                <w:lang w:val="es-ES"/>
              </w:rPr>
              <w:t xml:space="preserve">Cerca del </w:t>
            </w:r>
            <w:r w:rsidR="002369EC" w:rsidRPr="00FA5A84">
              <w:rPr>
                <w:rFonts w:ascii="Times New Roman" w:hAnsi="Times New Roman" w:cs="Times New Roman"/>
                <w:sz w:val="24"/>
                <w:szCs w:val="24"/>
                <w:lang w:val="es-ES"/>
              </w:rPr>
              <w:t>4</w:t>
            </w:r>
            <w:r>
              <w:rPr>
                <w:rFonts w:ascii="Times New Roman" w:hAnsi="Times New Roman" w:cs="Times New Roman"/>
                <w:sz w:val="24"/>
                <w:szCs w:val="24"/>
                <w:lang w:val="es-ES"/>
              </w:rPr>
              <w:t>5</w:t>
            </w:r>
            <w:r w:rsidR="002369EC" w:rsidRPr="00FA5A84">
              <w:rPr>
                <w:rFonts w:ascii="Times New Roman" w:hAnsi="Times New Roman" w:cs="Times New Roman"/>
                <w:sz w:val="24"/>
                <w:szCs w:val="24"/>
                <w:lang w:val="es-ES"/>
              </w:rPr>
              <w:t>% de</w:t>
            </w:r>
            <w:r>
              <w:rPr>
                <w:rFonts w:ascii="Times New Roman" w:hAnsi="Times New Roman" w:cs="Times New Roman"/>
                <w:sz w:val="24"/>
                <w:szCs w:val="24"/>
                <w:lang w:val="es-ES"/>
              </w:rPr>
              <w:t xml:space="preserve"> los </w:t>
            </w:r>
            <w:r w:rsidR="002369EC" w:rsidRPr="00FA5A84">
              <w:rPr>
                <w:rFonts w:ascii="Times New Roman" w:hAnsi="Times New Roman" w:cs="Times New Roman"/>
                <w:sz w:val="24"/>
                <w:szCs w:val="24"/>
                <w:lang w:val="es-ES"/>
              </w:rPr>
              <w:t xml:space="preserve">hogares </w:t>
            </w:r>
            <w:r>
              <w:rPr>
                <w:rFonts w:ascii="Times New Roman" w:hAnsi="Times New Roman" w:cs="Times New Roman"/>
                <w:sz w:val="24"/>
                <w:szCs w:val="24"/>
                <w:lang w:val="es-ES"/>
              </w:rPr>
              <w:t xml:space="preserve">se clasifican en los </w:t>
            </w:r>
            <w:r w:rsidR="002369EC" w:rsidRPr="00FA5A84">
              <w:rPr>
                <w:rFonts w:ascii="Times New Roman" w:hAnsi="Times New Roman" w:cs="Times New Roman"/>
                <w:sz w:val="24"/>
                <w:szCs w:val="24"/>
                <w:lang w:val="es-ES"/>
              </w:rPr>
              <w:t>estratos 1 y 2.</w:t>
            </w:r>
          </w:p>
          <w:p w:rsidR="002369EC" w:rsidRPr="00FA5A84" w:rsidRDefault="00807F9C" w:rsidP="002369EC">
            <w:pPr>
              <w:numPr>
                <w:ilvl w:val="0"/>
                <w:numId w:val="3"/>
              </w:numPr>
              <w:spacing w:after="0" w:line="240" w:lineRule="auto"/>
              <w:ind w:left="714" w:hanging="357"/>
              <w:jc w:val="both"/>
              <w:rPr>
                <w:rFonts w:ascii="Times New Roman" w:hAnsi="Times New Roman" w:cs="Times New Roman"/>
                <w:sz w:val="24"/>
                <w:szCs w:val="24"/>
              </w:rPr>
            </w:pPr>
            <w:r>
              <w:rPr>
                <w:rFonts w:ascii="Times New Roman" w:hAnsi="Times New Roman" w:cs="Times New Roman"/>
                <w:sz w:val="24"/>
                <w:szCs w:val="24"/>
                <w:lang w:val="es-ES"/>
              </w:rPr>
              <w:t xml:space="preserve">La población de los estratos 1 a 3 devenga menos de </w:t>
            </w:r>
            <w:r w:rsidR="002369EC" w:rsidRPr="00FA5A84">
              <w:rPr>
                <w:rFonts w:ascii="Times New Roman" w:hAnsi="Times New Roman" w:cs="Times New Roman"/>
                <w:sz w:val="24"/>
                <w:szCs w:val="24"/>
                <w:lang w:val="es-ES"/>
              </w:rPr>
              <w:t>3 SMLMV.</w:t>
            </w:r>
          </w:p>
          <w:p w:rsidR="002369EC" w:rsidRPr="00FA5A84" w:rsidRDefault="002369EC" w:rsidP="002369EC">
            <w:pPr>
              <w:numPr>
                <w:ilvl w:val="0"/>
                <w:numId w:val="3"/>
              </w:numPr>
              <w:spacing w:after="0" w:line="240" w:lineRule="auto"/>
              <w:ind w:left="714" w:hanging="357"/>
              <w:jc w:val="both"/>
              <w:rPr>
                <w:rFonts w:ascii="Times New Roman" w:hAnsi="Times New Roman" w:cs="Times New Roman"/>
                <w:sz w:val="24"/>
                <w:szCs w:val="24"/>
              </w:rPr>
            </w:pPr>
            <w:r w:rsidRPr="00FA5A84">
              <w:rPr>
                <w:rFonts w:ascii="Times New Roman" w:hAnsi="Times New Roman" w:cs="Times New Roman"/>
                <w:sz w:val="24"/>
                <w:szCs w:val="24"/>
                <w:lang w:val="es-ES"/>
              </w:rPr>
              <w:t xml:space="preserve">La ciudad </w:t>
            </w:r>
            <w:r w:rsidR="00807F9C">
              <w:rPr>
                <w:rFonts w:ascii="Times New Roman" w:hAnsi="Times New Roman" w:cs="Times New Roman"/>
                <w:sz w:val="24"/>
                <w:szCs w:val="24"/>
                <w:lang w:val="es-ES"/>
              </w:rPr>
              <w:t>demanda al menos 50</w:t>
            </w:r>
            <w:r w:rsidRPr="00FA5A84">
              <w:rPr>
                <w:rFonts w:ascii="Times New Roman" w:hAnsi="Times New Roman" w:cs="Times New Roman"/>
                <w:sz w:val="24"/>
                <w:szCs w:val="24"/>
                <w:lang w:val="es-ES"/>
              </w:rPr>
              <w:t xml:space="preserve"> mil nuevas viviendas </w:t>
            </w:r>
            <w:r w:rsidR="00807F9C">
              <w:rPr>
                <w:rFonts w:ascii="Times New Roman" w:hAnsi="Times New Roman" w:cs="Times New Roman"/>
                <w:sz w:val="24"/>
                <w:szCs w:val="24"/>
                <w:lang w:val="es-ES"/>
              </w:rPr>
              <w:t>cada año, en concordancia con los nuevos hogares</w:t>
            </w:r>
            <w:r w:rsidRPr="00FA5A84">
              <w:rPr>
                <w:rFonts w:ascii="Times New Roman" w:hAnsi="Times New Roman" w:cs="Times New Roman"/>
                <w:sz w:val="24"/>
                <w:szCs w:val="24"/>
                <w:lang w:val="es-ES"/>
              </w:rPr>
              <w:t>.</w:t>
            </w:r>
          </w:p>
          <w:p w:rsidR="002A18AF" w:rsidRPr="00FA5A84" w:rsidRDefault="002A18AF" w:rsidP="00807F9C">
            <w:pPr>
              <w:spacing w:after="0" w:line="240" w:lineRule="auto"/>
              <w:jc w:val="both"/>
              <w:rPr>
                <w:rFonts w:ascii="Times New Roman" w:hAnsi="Times New Roman" w:cs="Times New Roman"/>
                <w:sz w:val="24"/>
                <w:szCs w:val="24"/>
              </w:rPr>
            </w:pPr>
          </w:p>
        </w:tc>
      </w:tr>
    </w:tbl>
    <w:p w:rsidR="002A18AF" w:rsidRPr="00FA5A84"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RPr="00FA5A84"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A5A84"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Objetivo general</w:t>
            </w:r>
          </w:p>
        </w:tc>
      </w:tr>
      <w:tr w:rsidR="002A18AF" w:rsidRPr="00FA5A84"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FA5A84" w:rsidRDefault="00B82275" w:rsidP="00B82275">
            <w:pPr>
              <w:jc w:val="both"/>
              <w:rPr>
                <w:rFonts w:ascii="Times New Roman" w:hAnsi="Times New Roman" w:cs="Times New Roman"/>
                <w:sz w:val="24"/>
                <w:szCs w:val="24"/>
              </w:rPr>
            </w:pPr>
            <w:r w:rsidRPr="00FA5A84">
              <w:rPr>
                <w:rFonts w:ascii="Times New Roman" w:hAnsi="Times New Roman" w:cs="Times New Roman"/>
                <w:sz w:val="24"/>
                <w:szCs w:val="24"/>
              </w:rPr>
              <w:t xml:space="preserve">Analizar el efecto de una estrategia de densificación –uso intensivo del suelo- en áreas con asentamientos precarios, en la disminución del déficit </w:t>
            </w:r>
            <w:r w:rsidRPr="00FA5A84">
              <w:rPr>
                <w:rFonts w:ascii="Times New Roman" w:hAnsi="Times New Roman" w:cs="Times New Roman"/>
                <w:sz w:val="24"/>
                <w:szCs w:val="24"/>
              </w:rPr>
              <w:lastRenderedPageBreak/>
              <w:t>habitacional en Bogotá.</w:t>
            </w:r>
          </w:p>
        </w:tc>
      </w:tr>
    </w:tbl>
    <w:p w:rsidR="002A18AF" w:rsidRPr="00FA5A84"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RPr="00FA5A84"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A5A84"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Objetivos específicos</w:t>
            </w:r>
          </w:p>
        </w:tc>
      </w:tr>
      <w:tr w:rsidR="002A18AF" w:rsidRPr="00FA5A84"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B82275" w:rsidRPr="00FA5A84" w:rsidRDefault="00B82275" w:rsidP="00B82275">
            <w:pPr>
              <w:pStyle w:val="Prrafodelista"/>
              <w:numPr>
                <w:ilvl w:val="0"/>
                <w:numId w:val="4"/>
              </w:numPr>
              <w:jc w:val="both"/>
              <w:rPr>
                <w:rFonts w:ascii="Times New Roman" w:hAnsi="Times New Roman" w:cs="Times New Roman"/>
                <w:sz w:val="24"/>
                <w:szCs w:val="24"/>
              </w:rPr>
            </w:pPr>
            <w:r w:rsidRPr="00FA5A84">
              <w:rPr>
                <w:rFonts w:ascii="Times New Roman" w:hAnsi="Times New Roman" w:cs="Times New Roman"/>
                <w:sz w:val="24"/>
                <w:szCs w:val="24"/>
              </w:rPr>
              <w:t>Caracterizar las áreas de asentamientos precarios en Bogotá con potencial para aplicar una estrategia de densificación.</w:t>
            </w:r>
          </w:p>
          <w:p w:rsidR="00B82275" w:rsidRPr="00FA5A84" w:rsidRDefault="00B82275" w:rsidP="00B82275">
            <w:pPr>
              <w:pStyle w:val="Prrafodelista"/>
              <w:numPr>
                <w:ilvl w:val="0"/>
                <w:numId w:val="4"/>
              </w:numPr>
              <w:jc w:val="both"/>
              <w:rPr>
                <w:rFonts w:ascii="Times New Roman" w:hAnsi="Times New Roman" w:cs="Times New Roman"/>
                <w:sz w:val="24"/>
                <w:szCs w:val="24"/>
              </w:rPr>
            </w:pPr>
            <w:r w:rsidRPr="00FA5A84">
              <w:rPr>
                <w:rFonts w:ascii="Times New Roman" w:hAnsi="Times New Roman" w:cs="Times New Roman"/>
                <w:sz w:val="24"/>
                <w:szCs w:val="24"/>
              </w:rPr>
              <w:t>Establecer criterios para una estrategia de densificación</w:t>
            </w:r>
          </w:p>
          <w:p w:rsidR="00E6008D" w:rsidRPr="00FA5A84" w:rsidRDefault="00B82275" w:rsidP="00B82275">
            <w:pPr>
              <w:pStyle w:val="Prrafodelista"/>
              <w:numPr>
                <w:ilvl w:val="0"/>
                <w:numId w:val="4"/>
              </w:numPr>
              <w:jc w:val="both"/>
              <w:rPr>
                <w:rFonts w:ascii="Times New Roman" w:hAnsi="Times New Roman" w:cs="Times New Roman"/>
                <w:sz w:val="24"/>
                <w:szCs w:val="24"/>
              </w:rPr>
            </w:pPr>
            <w:r w:rsidRPr="00FA5A84">
              <w:rPr>
                <w:rFonts w:ascii="Times New Roman" w:hAnsi="Times New Roman" w:cs="Times New Roman"/>
                <w:sz w:val="24"/>
                <w:szCs w:val="24"/>
              </w:rPr>
              <w:t>Evaluar la incidencia de la estrategia de densificación definida en la disminución del déficit habitacional en Bogotá.</w:t>
            </w:r>
          </w:p>
        </w:tc>
      </w:tr>
    </w:tbl>
    <w:p w:rsidR="002A18AF" w:rsidRPr="00FA5A84"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RPr="00FA5A84"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A5A84" w:rsidRDefault="00E6008D">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Estado del arte y marco conceptual</w:t>
            </w:r>
          </w:p>
        </w:tc>
      </w:tr>
      <w:tr w:rsidR="002A18AF" w:rsidRPr="00FA5A84"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B82275" w:rsidRPr="00FA5A84" w:rsidRDefault="00FE4D3A" w:rsidP="00B82275">
            <w:pPr>
              <w:jc w:val="both"/>
              <w:rPr>
                <w:rFonts w:ascii="Times New Roman" w:hAnsi="Times New Roman" w:cs="Times New Roman"/>
                <w:sz w:val="24"/>
                <w:szCs w:val="24"/>
              </w:rPr>
            </w:pPr>
            <w:r>
              <w:rPr>
                <w:rFonts w:ascii="Times New Roman" w:hAnsi="Times New Roman" w:cs="Times New Roman"/>
                <w:sz w:val="24"/>
                <w:szCs w:val="24"/>
              </w:rPr>
              <w:t xml:space="preserve">La noción de </w:t>
            </w:r>
            <w:r w:rsidR="00B82275" w:rsidRPr="00FA5A84">
              <w:rPr>
                <w:rFonts w:ascii="Times New Roman" w:hAnsi="Times New Roman" w:cs="Times New Roman"/>
                <w:sz w:val="24"/>
                <w:szCs w:val="24"/>
              </w:rPr>
              <w:t xml:space="preserve">potencial </w:t>
            </w:r>
            <w:r>
              <w:rPr>
                <w:rFonts w:ascii="Times New Roman" w:hAnsi="Times New Roman" w:cs="Times New Roman"/>
                <w:sz w:val="24"/>
                <w:szCs w:val="24"/>
              </w:rPr>
              <w:t>del suelo permite entender las posibilidades de su mayor aprovechamiento para atender necesidades de la demanda de vivienda</w:t>
            </w:r>
            <w:r w:rsidR="00B82275" w:rsidRPr="00FA5A84">
              <w:rPr>
                <w:rFonts w:ascii="Times New Roman" w:hAnsi="Times New Roman" w:cs="Times New Roman"/>
                <w:sz w:val="24"/>
                <w:szCs w:val="24"/>
              </w:rPr>
              <w:t xml:space="preserve"> (Arcos, 2015)</w:t>
            </w:r>
            <w:r>
              <w:rPr>
                <w:rFonts w:ascii="Times New Roman" w:hAnsi="Times New Roman" w:cs="Times New Roman"/>
                <w:sz w:val="24"/>
                <w:szCs w:val="24"/>
              </w:rPr>
              <w:t xml:space="preserve">, </w:t>
            </w:r>
            <w:r w:rsidR="00B82275" w:rsidRPr="00FA5A84">
              <w:rPr>
                <w:rFonts w:ascii="Times New Roman" w:hAnsi="Times New Roman" w:cs="Times New Roman"/>
                <w:sz w:val="24"/>
                <w:szCs w:val="24"/>
              </w:rPr>
              <w:t xml:space="preserve">(Camagni, 2005). </w:t>
            </w:r>
            <w:r>
              <w:rPr>
                <w:rFonts w:ascii="Times New Roman" w:hAnsi="Times New Roman" w:cs="Times New Roman"/>
                <w:sz w:val="24"/>
                <w:szCs w:val="24"/>
              </w:rPr>
              <w:t xml:space="preserve">El suelo no disponible para la construcción de vivienda y sus precios elevados, explican en cierta forma </w:t>
            </w:r>
            <w:r w:rsidR="00B82275" w:rsidRPr="00FA5A84">
              <w:rPr>
                <w:rFonts w:ascii="Times New Roman" w:hAnsi="Times New Roman" w:cs="Times New Roman"/>
                <w:sz w:val="24"/>
                <w:szCs w:val="24"/>
              </w:rPr>
              <w:t>el déficit</w:t>
            </w:r>
            <w:r>
              <w:rPr>
                <w:rFonts w:ascii="Times New Roman" w:hAnsi="Times New Roman" w:cs="Times New Roman"/>
                <w:sz w:val="24"/>
                <w:szCs w:val="24"/>
              </w:rPr>
              <w:t xml:space="preserve">. Un mejor aprovechamiento del suelo para edificaciones se correspondería con </w:t>
            </w:r>
            <w:r w:rsidR="00B82275" w:rsidRPr="00FA5A84">
              <w:rPr>
                <w:rFonts w:ascii="Times New Roman" w:hAnsi="Times New Roman" w:cs="Times New Roman"/>
                <w:sz w:val="24"/>
                <w:szCs w:val="24"/>
              </w:rPr>
              <w:t xml:space="preserve">el potencial económico de áreas de la ciudad. Existen dos criterios para abordar la relación escasez de suelo, áreas potenciales para densificación y disminución del déficit habitacional (Arcos y Casasfranco, 2007): (1) Determinados usos del suelo en la ciudad, la propiedad del suelo y las actividades económicas que allí se desarrollan, aportan una cierta proporción de los ingresos anuales de la ciudad. (2) Las con potencial para la densificación hacen aportes en proporciones distintas a los ingresos de la ciudad. </w:t>
            </w:r>
          </w:p>
          <w:p w:rsidR="00B82275" w:rsidRPr="00FA5A84" w:rsidRDefault="00B82275" w:rsidP="00B82275">
            <w:pPr>
              <w:jc w:val="both"/>
              <w:rPr>
                <w:rFonts w:ascii="Times New Roman" w:hAnsi="Times New Roman" w:cs="Times New Roman"/>
                <w:sz w:val="24"/>
                <w:szCs w:val="24"/>
              </w:rPr>
            </w:pPr>
            <w:r w:rsidRPr="00FA5A84">
              <w:rPr>
                <w:rFonts w:ascii="Times New Roman" w:hAnsi="Times New Roman" w:cs="Times New Roman"/>
                <w:sz w:val="24"/>
                <w:szCs w:val="24"/>
              </w:rPr>
              <w:t xml:space="preserve">La viabilidad de una estrategia de densificación (uso intensivo del suelo; construcción en altura), es plausible en la medida en que el mercado inmobiliario se dinamiza con respecto a la demanda de vivienda, cuya importancia relativa se expresa a través de las cifras del déficit habitacional. El mercado que se originaría mediante procesos de densificación lo expone Jaramillo (1994, pp. 107-115), al referirse a </w:t>
            </w:r>
            <w:r w:rsidR="00FE4D3A">
              <w:rPr>
                <w:rFonts w:ascii="Times New Roman" w:hAnsi="Times New Roman" w:cs="Times New Roman"/>
                <w:sz w:val="24"/>
                <w:szCs w:val="24"/>
              </w:rPr>
              <w:t xml:space="preserve">“… </w:t>
            </w:r>
            <w:r w:rsidRPr="00FA5A84">
              <w:rPr>
                <w:rFonts w:ascii="Times New Roman" w:hAnsi="Times New Roman" w:cs="Times New Roman"/>
                <w:sz w:val="24"/>
                <w:szCs w:val="24"/>
              </w:rPr>
              <w:t>los procesos productivos que se generan en la tierra urbana: (i) el proceso de la construcción; (</w:t>
            </w:r>
            <w:proofErr w:type="spellStart"/>
            <w:r w:rsidRPr="00FA5A84">
              <w:rPr>
                <w:rFonts w:ascii="Times New Roman" w:hAnsi="Times New Roman" w:cs="Times New Roman"/>
                <w:sz w:val="24"/>
                <w:szCs w:val="24"/>
              </w:rPr>
              <w:t>ii</w:t>
            </w:r>
            <w:proofErr w:type="spellEnd"/>
            <w:r w:rsidRPr="00FA5A84">
              <w:rPr>
                <w:rFonts w:ascii="Times New Roman" w:hAnsi="Times New Roman" w:cs="Times New Roman"/>
                <w:sz w:val="24"/>
                <w:szCs w:val="24"/>
              </w:rPr>
              <w:t>) el de las actividades urbanas que utilizan el espacio construido como base. Al primero, lo denomina articulación primaria del suelo, en tanto el suelo se liga al proceso productivo de la edificación y proporciona soporte al espacio construido. Éste se consume como receptáculo de actividades urbanas</w:t>
            </w:r>
            <w:r w:rsidR="00FE4D3A">
              <w:rPr>
                <w:rFonts w:ascii="Times New Roman" w:hAnsi="Times New Roman" w:cs="Times New Roman"/>
                <w:sz w:val="24"/>
                <w:szCs w:val="24"/>
              </w:rPr>
              <w:t>”</w:t>
            </w:r>
            <w:r w:rsidRPr="00FA5A84">
              <w:rPr>
                <w:rFonts w:ascii="Times New Roman" w:hAnsi="Times New Roman" w:cs="Times New Roman"/>
                <w:sz w:val="24"/>
                <w:szCs w:val="24"/>
              </w:rPr>
              <w:t xml:space="preserve">. Así, la estrategia de densificación para disminuir el déficit habitacional es plausible, en la perspectiva de la articulación de los procesos productivos mencionados por Jaramillo, que relacionan los factores: escasez de suelo, déficit habitacionales y mercado inmobiliario en áreas con potencial para la densificación. </w:t>
            </w:r>
          </w:p>
          <w:p w:rsidR="00B82275" w:rsidRPr="00FA5A84" w:rsidRDefault="00B82275" w:rsidP="00B82275">
            <w:pPr>
              <w:jc w:val="both"/>
              <w:rPr>
                <w:rFonts w:ascii="Times New Roman" w:hAnsi="Times New Roman" w:cs="Times New Roman"/>
                <w:b/>
                <w:sz w:val="24"/>
                <w:szCs w:val="24"/>
              </w:rPr>
            </w:pPr>
            <w:r w:rsidRPr="00FA5A84">
              <w:rPr>
                <w:rFonts w:ascii="Times New Roman" w:hAnsi="Times New Roman" w:cs="Times New Roman"/>
                <w:b/>
                <w:sz w:val="24"/>
                <w:szCs w:val="24"/>
              </w:rPr>
              <w:t>Aspectos conceptuales</w:t>
            </w:r>
          </w:p>
          <w:p w:rsidR="00B82275" w:rsidRPr="00FA5A84" w:rsidRDefault="00B82275" w:rsidP="00B82275">
            <w:pPr>
              <w:jc w:val="both"/>
              <w:rPr>
                <w:rFonts w:ascii="Times New Roman" w:hAnsi="Times New Roman" w:cs="Times New Roman"/>
                <w:sz w:val="24"/>
                <w:szCs w:val="24"/>
              </w:rPr>
            </w:pPr>
            <w:r w:rsidRPr="00FA5A84">
              <w:rPr>
                <w:rFonts w:ascii="Times New Roman" w:hAnsi="Times New Roman" w:cs="Times New Roman"/>
                <w:sz w:val="24"/>
                <w:szCs w:val="24"/>
              </w:rPr>
              <w:t xml:space="preserve">Vivienda: se ha definido como un bien privado que es objeto de políticas públicas, cuya función es satisfacer necesidades de los hogares, </w:t>
            </w:r>
            <w:r w:rsidR="00FE4D3A">
              <w:rPr>
                <w:rFonts w:ascii="Times New Roman" w:hAnsi="Times New Roman" w:cs="Times New Roman"/>
                <w:sz w:val="24"/>
                <w:szCs w:val="24"/>
              </w:rPr>
              <w:t>desde las reproductivas, hasta las de seguridad, por mencionar algunas</w:t>
            </w:r>
            <w:r w:rsidRPr="00FA5A84">
              <w:rPr>
                <w:rFonts w:ascii="Times New Roman" w:hAnsi="Times New Roman" w:cs="Times New Roman"/>
                <w:sz w:val="24"/>
                <w:szCs w:val="24"/>
              </w:rPr>
              <w:t xml:space="preserve"> (FEDESARROLLO, 2009). </w:t>
            </w:r>
          </w:p>
          <w:p w:rsidR="00B82275" w:rsidRPr="00FA5A84" w:rsidRDefault="00B82275" w:rsidP="00B82275">
            <w:pPr>
              <w:jc w:val="both"/>
              <w:rPr>
                <w:rFonts w:ascii="Times New Roman" w:hAnsi="Times New Roman" w:cs="Times New Roman"/>
                <w:sz w:val="24"/>
                <w:szCs w:val="24"/>
              </w:rPr>
            </w:pPr>
            <w:r w:rsidRPr="00FA5A84">
              <w:rPr>
                <w:rFonts w:ascii="Times New Roman" w:hAnsi="Times New Roman" w:cs="Times New Roman"/>
                <w:sz w:val="24"/>
                <w:szCs w:val="24"/>
              </w:rPr>
              <w:t xml:space="preserve">Déficit habitacional cuantitativo: se refiere al número de unidades </w:t>
            </w:r>
            <w:r w:rsidR="00FE4D3A">
              <w:rPr>
                <w:rFonts w:ascii="Times New Roman" w:hAnsi="Times New Roman" w:cs="Times New Roman"/>
                <w:sz w:val="24"/>
                <w:szCs w:val="24"/>
              </w:rPr>
              <w:t>que faltan frente al total de los hogares existentes en un tiempo determinado</w:t>
            </w:r>
            <w:r w:rsidRPr="00FA5A84">
              <w:rPr>
                <w:rFonts w:ascii="Times New Roman" w:hAnsi="Times New Roman" w:cs="Times New Roman"/>
                <w:sz w:val="24"/>
                <w:szCs w:val="24"/>
              </w:rPr>
              <w:t xml:space="preserve"> (DANE, </w:t>
            </w:r>
            <w:r w:rsidRPr="00FA5A84">
              <w:rPr>
                <w:rFonts w:ascii="Times New Roman" w:hAnsi="Times New Roman" w:cs="Times New Roman"/>
                <w:sz w:val="24"/>
                <w:szCs w:val="24"/>
              </w:rPr>
              <w:lastRenderedPageBreak/>
              <w:t xml:space="preserve">2009; </w:t>
            </w:r>
            <w:r w:rsidRPr="00FA5A84">
              <w:rPr>
                <w:rFonts w:ascii="Times New Roman" w:hAnsi="Times New Roman" w:cs="Times New Roman"/>
                <w:noProof/>
                <w:sz w:val="24"/>
                <w:szCs w:val="24"/>
              </w:rPr>
              <w:t>CENAC, 2017)</w:t>
            </w:r>
            <w:r w:rsidRPr="00FA5A84">
              <w:rPr>
                <w:rFonts w:ascii="Times New Roman" w:hAnsi="Times New Roman" w:cs="Times New Roman"/>
                <w:sz w:val="24"/>
                <w:szCs w:val="24"/>
              </w:rPr>
              <w:t>.</w:t>
            </w:r>
          </w:p>
          <w:p w:rsidR="00B82275" w:rsidRPr="00FA5A84" w:rsidRDefault="00B82275" w:rsidP="00B82275">
            <w:pPr>
              <w:jc w:val="both"/>
              <w:rPr>
                <w:rFonts w:ascii="Times New Roman" w:hAnsi="Times New Roman" w:cs="Times New Roman"/>
                <w:sz w:val="24"/>
                <w:szCs w:val="24"/>
              </w:rPr>
            </w:pPr>
            <w:r w:rsidRPr="00FA5A84">
              <w:rPr>
                <w:rFonts w:ascii="Times New Roman" w:hAnsi="Times New Roman" w:cs="Times New Roman"/>
                <w:sz w:val="24"/>
                <w:szCs w:val="24"/>
              </w:rPr>
              <w:t xml:space="preserve">Déficit habitacional cualitativo: se refiere a hogares con privación de algunos de los atributos de la vivienda: material de las paredes, piso, acceso a servicios públicos domiciliarios, entre otros (DANE, 2009; </w:t>
            </w:r>
            <w:r w:rsidRPr="00FA5A84">
              <w:rPr>
                <w:rFonts w:ascii="Times New Roman" w:hAnsi="Times New Roman" w:cs="Times New Roman"/>
                <w:noProof/>
                <w:sz w:val="24"/>
                <w:szCs w:val="24"/>
              </w:rPr>
              <w:t>CENAC, 2017)</w:t>
            </w:r>
            <w:r w:rsidRPr="00FA5A84">
              <w:rPr>
                <w:rFonts w:ascii="Times New Roman" w:hAnsi="Times New Roman" w:cs="Times New Roman"/>
                <w:sz w:val="24"/>
                <w:szCs w:val="24"/>
              </w:rPr>
              <w:t>.</w:t>
            </w:r>
          </w:p>
          <w:p w:rsidR="00E6008D" w:rsidRPr="00FA5A84" w:rsidRDefault="00B82275" w:rsidP="00FE4D3A">
            <w:pPr>
              <w:jc w:val="both"/>
              <w:rPr>
                <w:rFonts w:ascii="Times New Roman" w:eastAsia="Times New Roman" w:hAnsi="Times New Roman" w:cs="Times New Roman"/>
                <w:color w:val="222222"/>
                <w:sz w:val="24"/>
                <w:szCs w:val="24"/>
                <w:lang w:eastAsia="es-CO"/>
              </w:rPr>
            </w:pPr>
            <w:r w:rsidRPr="00FA5A84">
              <w:rPr>
                <w:rFonts w:ascii="Times New Roman" w:hAnsi="Times New Roman" w:cs="Times New Roman"/>
                <w:sz w:val="24"/>
                <w:szCs w:val="24"/>
              </w:rPr>
              <w:t xml:space="preserve">Áreas con potencial para la densificación: son áreas </w:t>
            </w:r>
            <w:r w:rsidR="00FE4D3A">
              <w:rPr>
                <w:rFonts w:ascii="Times New Roman" w:hAnsi="Times New Roman" w:cs="Times New Roman"/>
                <w:sz w:val="24"/>
                <w:szCs w:val="24"/>
              </w:rPr>
              <w:t xml:space="preserve">que podrían </w:t>
            </w:r>
            <w:r w:rsidRPr="00FA5A84">
              <w:rPr>
                <w:rFonts w:ascii="Times New Roman" w:hAnsi="Times New Roman" w:cs="Times New Roman"/>
                <w:sz w:val="24"/>
                <w:szCs w:val="24"/>
              </w:rPr>
              <w:t xml:space="preserve">transformarse </w:t>
            </w:r>
            <w:r w:rsidR="00FE4D3A">
              <w:rPr>
                <w:rFonts w:ascii="Times New Roman" w:hAnsi="Times New Roman" w:cs="Times New Roman"/>
                <w:sz w:val="24"/>
                <w:szCs w:val="24"/>
              </w:rPr>
              <w:t>a través de acciones de r</w:t>
            </w:r>
            <w:r w:rsidRPr="00FA5A84">
              <w:rPr>
                <w:rFonts w:ascii="Times New Roman" w:hAnsi="Times New Roman" w:cs="Times New Roman"/>
                <w:sz w:val="24"/>
                <w:szCs w:val="24"/>
              </w:rPr>
              <w:t>enovación urbana, desarrollo de suelo o redesarrollo de áreas con cierto grado de consolidación (Arcos, 2015).</w:t>
            </w:r>
          </w:p>
        </w:tc>
      </w:tr>
    </w:tbl>
    <w:p w:rsidR="002A18AF" w:rsidRPr="00FA5A84"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RPr="00FA5A84"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A5A84"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Metodología</w:t>
            </w:r>
          </w:p>
        </w:tc>
      </w:tr>
      <w:tr w:rsidR="002A18AF" w:rsidRPr="00FA5A84"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B82275" w:rsidRPr="00FA5A84" w:rsidRDefault="00B82275" w:rsidP="00B82275">
            <w:pPr>
              <w:pStyle w:val="m5874095947225310608gmail-normal1"/>
              <w:shd w:val="clear" w:color="auto" w:fill="FFFFFF"/>
              <w:spacing w:before="120" w:beforeAutospacing="0" w:after="0" w:afterAutospacing="0" w:line="276" w:lineRule="auto"/>
              <w:jc w:val="both"/>
              <w:rPr>
                <w:color w:val="000000"/>
                <w:lang w:val="es-ES_tradnl"/>
              </w:rPr>
            </w:pPr>
            <w:r w:rsidRPr="00FA5A84">
              <w:rPr>
                <w:color w:val="000000"/>
                <w:lang w:val="es-ES_tradnl"/>
              </w:rPr>
              <w:t xml:space="preserve">Con el objetivo de identificar sectores con potencial para hacer viable en ellos procesos de densificación y, mediante esta vía buscar la disminución del déficit habitacional en la ciudad de Bogotá, se prevé una metodología para el análisis espacial de áreas y predios y la validación de la incidencia en la disminución del déficit habitacional. La metodología se fundamenta en la caracterización y evaluación de predios dentro de ámbitos de estudio a escala de Unidad de Planeación Zonal, para realizar el filtro e identificación de áreas (conjuntos de predios) de mayor susceptibilidad para promover procesos de densificación a escala de manzana catastral. La metodología hace uso de un razonamiento deductivo a partir de un abordaje general a nivel de los ámbitos de estudio hasta llegar a un análisis particular a nivel áreas (manzanas o conjunto de manzanas). El ejercicio se realizará mediante el análisis de variables afines al desarrollo inmobiliario, el procesamiento de información geográfica y la modelación económica y normativa de escenarios anteriores y posteriores a posibles intervenciones urbanas de densificación (renovación, redesarrollo y/o desarrollo). </w:t>
            </w:r>
          </w:p>
          <w:p w:rsidR="00B82275" w:rsidRPr="00FA5A84" w:rsidRDefault="00B82275" w:rsidP="00B82275">
            <w:pPr>
              <w:pStyle w:val="m5874095947225310608gmail-normal1"/>
              <w:shd w:val="clear" w:color="auto" w:fill="FFFFFF"/>
              <w:spacing w:before="0" w:beforeAutospacing="0" w:after="0" w:afterAutospacing="0" w:line="276" w:lineRule="auto"/>
              <w:jc w:val="both"/>
              <w:rPr>
                <w:color w:val="000000"/>
                <w:lang w:val="es-ES_tradnl"/>
              </w:rPr>
            </w:pPr>
          </w:p>
          <w:p w:rsidR="00B82275" w:rsidRPr="00FA5A84" w:rsidRDefault="00B82275" w:rsidP="00B82275">
            <w:pPr>
              <w:pStyle w:val="m5874095947225310608gmail-normal1"/>
              <w:shd w:val="clear" w:color="auto" w:fill="FFFFFF"/>
              <w:spacing w:before="0" w:beforeAutospacing="0" w:after="0" w:afterAutospacing="0" w:line="276" w:lineRule="auto"/>
              <w:jc w:val="both"/>
              <w:rPr>
                <w:color w:val="000000"/>
                <w:lang w:val="es-ES_tradnl"/>
              </w:rPr>
            </w:pPr>
            <w:r w:rsidRPr="00FA5A84">
              <w:rPr>
                <w:color w:val="000000"/>
                <w:lang w:val="es-ES_tradnl"/>
              </w:rPr>
              <w:t xml:space="preserve">La implementación de la metodología se realiza en tres fases, así: </w:t>
            </w:r>
          </w:p>
          <w:p w:rsidR="00B82275" w:rsidRPr="00FA5A84" w:rsidRDefault="00B82275" w:rsidP="00B82275">
            <w:pPr>
              <w:pStyle w:val="m5874095947225310608gmail-normal1"/>
              <w:shd w:val="clear" w:color="auto" w:fill="FFFFFF"/>
              <w:spacing w:before="0" w:beforeAutospacing="0" w:after="0" w:afterAutospacing="0" w:line="276" w:lineRule="auto"/>
              <w:jc w:val="both"/>
              <w:rPr>
                <w:color w:val="000000"/>
                <w:lang w:val="es-ES_tradnl"/>
              </w:rPr>
            </w:pPr>
          </w:p>
          <w:p w:rsidR="00B82275" w:rsidRPr="00FA5A84" w:rsidRDefault="00B82275" w:rsidP="00B82275">
            <w:pPr>
              <w:pStyle w:val="Prrafodelista"/>
              <w:numPr>
                <w:ilvl w:val="0"/>
                <w:numId w:val="5"/>
              </w:numPr>
              <w:autoSpaceDE w:val="0"/>
              <w:autoSpaceDN w:val="0"/>
              <w:adjustRightInd w:val="0"/>
              <w:spacing w:after="0" w:line="276" w:lineRule="auto"/>
              <w:jc w:val="both"/>
              <w:rPr>
                <w:rFonts w:ascii="Times New Roman" w:hAnsi="Times New Roman" w:cs="Times New Roman"/>
                <w:sz w:val="24"/>
                <w:szCs w:val="24"/>
              </w:rPr>
            </w:pPr>
            <w:r w:rsidRPr="00FA5A84">
              <w:rPr>
                <w:rFonts w:ascii="Times New Roman" w:hAnsi="Times New Roman" w:cs="Times New Roman"/>
                <w:sz w:val="24"/>
                <w:szCs w:val="24"/>
              </w:rPr>
              <w:t>El desarrollo del primer objetivo específico corresponde a la fase de caracterización general del ámbito de estudio seleccionado. Requiere adelantar una investigación exploratoria cuantitativa y cualitativa, con la finalidad de definir, identificar y caracterizar las áreas de la ciudad de Bogotá con asentamientos precarios, susceptibles de transformar mediante el uso intensivo del suelo para proyectos residenciales orientados a atender la demanda de vivienda en Bogotá. Para el efecto se tendrá en cuenta información secundaria disponible en entidades gubernamentales de la ciudad (planeación, hábitat, desarrollo) y se revisará en detalle el estado del arte de investigaciones que hayan abordado el tema.</w:t>
            </w:r>
          </w:p>
          <w:p w:rsidR="00B82275" w:rsidRPr="00FA5A84" w:rsidRDefault="00B82275" w:rsidP="00B82275">
            <w:pPr>
              <w:pStyle w:val="Prrafodelista"/>
              <w:autoSpaceDE w:val="0"/>
              <w:autoSpaceDN w:val="0"/>
              <w:adjustRightInd w:val="0"/>
              <w:spacing w:after="0" w:line="276" w:lineRule="auto"/>
              <w:ind w:left="360"/>
              <w:jc w:val="both"/>
              <w:rPr>
                <w:rFonts w:ascii="Times New Roman" w:hAnsi="Times New Roman" w:cs="Times New Roman"/>
                <w:sz w:val="24"/>
                <w:szCs w:val="24"/>
              </w:rPr>
            </w:pPr>
          </w:p>
          <w:p w:rsidR="00B82275" w:rsidRPr="00FA5A84" w:rsidRDefault="00B82275" w:rsidP="00B82275">
            <w:pPr>
              <w:pStyle w:val="Prrafodelista"/>
              <w:autoSpaceDE w:val="0"/>
              <w:autoSpaceDN w:val="0"/>
              <w:adjustRightInd w:val="0"/>
              <w:spacing w:after="0" w:line="276" w:lineRule="auto"/>
              <w:ind w:left="360"/>
              <w:jc w:val="both"/>
              <w:rPr>
                <w:rFonts w:ascii="Times New Roman" w:hAnsi="Times New Roman" w:cs="Times New Roman"/>
                <w:sz w:val="24"/>
                <w:szCs w:val="24"/>
              </w:rPr>
            </w:pPr>
            <w:r w:rsidRPr="00FA5A84">
              <w:rPr>
                <w:rFonts w:ascii="Times New Roman" w:hAnsi="Times New Roman" w:cs="Times New Roman"/>
                <w:sz w:val="24"/>
                <w:szCs w:val="24"/>
              </w:rPr>
              <w:t xml:space="preserve">La caracterización en el ámbito de estudio es un proceso de reconocimiento y diagnóstico espacial que busca analizar información relacionada con la dinámica económica y urbana y la vocación de uso del entorno urbano. Este proceso se fundamenta en la exploración de datos geográficos de la base catastral de Bogotá a escala predial, local y metropolitana, empleando variables como usos y destinos económicos del suelo, estratificación, tratamientos urbanísticos, afectaciones POT, proximidad e influencia de equipamientos, espacio público, estructura ecológica, índice de Construcción y </w:t>
            </w:r>
            <w:r w:rsidRPr="00FA5A84">
              <w:rPr>
                <w:rFonts w:ascii="Times New Roman" w:hAnsi="Times New Roman" w:cs="Times New Roman"/>
                <w:sz w:val="24"/>
                <w:szCs w:val="24"/>
              </w:rPr>
              <w:lastRenderedPageBreak/>
              <w:t>ocupación, entre otros.</w:t>
            </w:r>
          </w:p>
          <w:p w:rsidR="00B82275" w:rsidRPr="00FA5A84" w:rsidRDefault="00B82275" w:rsidP="00B82275">
            <w:pPr>
              <w:pStyle w:val="Prrafodelista"/>
              <w:autoSpaceDE w:val="0"/>
              <w:autoSpaceDN w:val="0"/>
              <w:adjustRightInd w:val="0"/>
              <w:spacing w:after="0" w:line="276" w:lineRule="auto"/>
              <w:ind w:left="360"/>
              <w:jc w:val="both"/>
              <w:rPr>
                <w:rFonts w:ascii="Times New Roman" w:hAnsi="Times New Roman" w:cs="Times New Roman"/>
                <w:sz w:val="24"/>
                <w:szCs w:val="24"/>
              </w:rPr>
            </w:pPr>
          </w:p>
          <w:p w:rsidR="00B82275" w:rsidRPr="00FA5A84" w:rsidRDefault="00B82275" w:rsidP="00B82275">
            <w:pPr>
              <w:pStyle w:val="Prrafodelista"/>
              <w:autoSpaceDE w:val="0"/>
              <w:autoSpaceDN w:val="0"/>
              <w:adjustRightInd w:val="0"/>
              <w:spacing w:after="0" w:line="276" w:lineRule="auto"/>
              <w:ind w:left="360"/>
              <w:jc w:val="both"/>
              <w:rPr>
                <w:rFonts w:ascii="Times New Roman" w:hAnsi="Times New Roman" w:cs="Times New Roman"/>
                <w:sz w:val="24"/>
                <w:szCs w:val="24"/>
              </w:rPr>
            </w:pPr>
            <w:r w:rsidRPr="00FA5A84">
              <w:rPr>
                <w:rFonts w:ascii="Times New Roman" w:hAnsi="Times New Roman" w:cs="Times New Roman"/>
                <w:sz w:val="24"/>
                <w:szCs w:val="24"/>
              </w:rPr>
              <w:t>Las áreas en el ámbito de estudio se identificarán y acotarán en unidades geográficas a escala de localidad para focalizar y optimizar el uso de los datos, y de esta manera, soportar los procesos de identificación de áreas estratégicas con dinámicas inmobiliarias que generen oportunidad de uso intensivo del suelo en proyectos residenciales. La caracterización parte de reconocer el soporte urbano del ámbito de</w:t>
            </w:r>
            <w:r w:rsidR="00032DF8">
              <w:rPr>
                <w:rFonts w:ascii="Times New Roman" w:hAnsi="Times New Roman" w:cs="Times New Roman"/>
                <w:sz w:val="24"/>
                <w:szCs w:val="24"/>
              </w:rPr>
              <w:t xml:space="preserve"> estudio</w:t>
            </w:r>
            <w:r w:rsidRPr="00FA5A84">
              <w:rPr>
                <w:rFonts w:ascii="Times New Roman" w:hAnsi="Times New Roman" w:cs="Times New Roman"/>
                <w:sz w:val="24"/>
                <w:szCs w:val="24"/>
              </w:rPr>
              <w:t>. Los predios son examinados mediante análisis de densidad y proximidad con relación a equipamientos, estaciones de buses, espacios públicos, parques, entre otros, clasificando sectores según sus dotaciones urbanas y condiciones funcionales de su entorno.</w:t>
            </w:r>
          </w:p>
          <w:p w:rsidR="00B82275" w:rsidRPr="00FA5A84" w:rsidRDefault="00B82275" w:rsidP="00B82275">
            <w:pPr>
              <w:autoSpaceDE w:val="0"/>
              <w:autoSpaceDN w:val="0"/>
              <w:adjustRightInd w:val="0"/>
              <w:spacing w:after="0" w:line="276" w:lineRule="auto"/>
              <w:jc w:val="both"/>
              <w:rPr>
                <w:rFonts w:ascii="Times New Roman" w:hAnsi="Times New Roman" w:cs="Times New Roman"/>
                <w:sz w:val="24"/>
                <w:szCs w:val="24"/>
              </w:rPr>
            </w:pPr>
          </w:p>
          <w:p w:rsidR="00B82275" w:rsidRPr="00FA5A84" w:rsidRDefault="00B82275" w:rsidP="00B82275">
            <w:pPr>
              <w:pStyle w:val="Prrafodelista"/>
              <w:numPr>
                <w:ilvl w:val="0"/>
                <w:numId w:val="5"/>
              </w:numPr>
              <w:autoSpaceDE w:val="0"/>
              <w:autoSpaceDN w:val="0"/>
              <w:adjustRightInd w:val="0"/>
              <w:spacing w:after="0" w:line="276" w:lineRule="auto"/>
              <w:jc w:val="both"/>
              <w:rPr>
                <w:rFonts w:ascii="Times New Roman" w:hAnsi="Times New Roman" w:cs="Times New Roman"/>
                <w:sz w:val="24"/>
                <w:szCs w:val="24"/>
              </w:rPr>
            </w:pPr>
            <w:r w:rsidRPr="00FA5A84">
              <w:rPr>
                <w:rFonts w:ascii="Times New Roman" w:hAnsi="Times New Roman" w:cs="Times New Roman"/>
                <w:sz w:val="24"/>
                <w:szCs w:val="24"/>
              </w:rPr>
              <w:t>El desarrollo del segundo objetivo, corresponde al análisis e identificación de áreas estratégicas de intervención para la densificación, conformadas por predios con mayor oportunidad de desarrollo en uso intensivo del suelo. Significa la aplicación de criterios investigativos de exploración cualitativa y cuantitativa: de una parte, el análisis de las normas urbanas para establecer restricciones de uso -equipamientos, espacio público, estructura ecológica principal, zonas de manejo y preservación ambiental (ZMPA), riesgo no mitigable por inestabilidad geológica y/o inundación, reservas viales del POT, etc.- y potenciales de densificación y, de otra, establecer el alcance de la transformación de los asentamientos precarios identificados, estimado en número de viviendas en las áreas potenciales.</w:t>
            </w:r>
          </w:p>
          <w:p w:rsidR="00B82275" w:rsidRPr="00FA5A84" w:rsidRDefault="00B82275" w:rsidP="00B82275">
            <w:pPr>
              <w:pStyle w:val="Prrafodelista"/>
              <w:autoSpaceDE w:val="0"/>
              <w:autoSpaceDN w:val="0"/>
              <w:adjustRightInd w:val="0"/>
              <w:spacing w:after="0" w:line="276" w:lineRule="auto"/>
              <w:ind w:left="360"/>
              <w:jc w:val="both"/>
              <w:rPr>
                <w:rFonts w:ascii="Times New Roman" w:hAnsi="Times New Roman" w:cs="Times New Roman"/>
                <w:sz w:val="24"/>
                <w:szCs w:val="24"/>
              </w:rPr>
            </w:pPr>
          </w:p>
          <w:p w:rsidR="00B82275" w:rsidRPr="00FA5A84" w:rsidRDefault="00B82275" w:rsidP="00B82275">
            <w:pPr>
              <w:pStyle w:val="Prrafodelista"/>
              <w:autoSpaceDE w:val="0"/>
              <w:autoSpaceDN w:val="0"/>
              <w:adjustRightInd w:val="0"/>
              <w:spacing w:after="0" w:line="276" w:lineRule="auto"/>
              <w:ind w:left="360"/>
              <w:jc w:val="both"/>
              <w:rPr>
                <w:rFonts w:ascii="Times New Roman" w:hAnsi="Times New Roman" w:cs="Times New Roman"/>
                <w:sz w:val="24"/>
                <w:szCs w:val="24"/>
              </w:rPr>
            </w:pPr>
            <w:r w:rsidRPr="00FA5A84">
              <w:rPr>
                <w:rFonts w:ascii="Times New Roman" w:hAnsi="Times New Roman" w:cs="Times New Roman"/>
                <w:sz w:val="24"/>
                <w:szCs w:val="24"/>
              </w:rPr>
              <w:t>Las áreas con potencial para densificación se establecerán mediante un Índice de Potencial, herramienta metodológica que consiste en valorar la viabilidad técnica y normativa de un conjunto de predios con potencial de desarrollo en función de soportar escenarios futuros de densificación. La valoración se estimará a través de un coeficiente de evaluación total, sobre el que se puede definir si el potencial de las áreas identificadas es muy bajo, bajo, alto o muy alto:</w:t>
            </w:r>
          </w:p>
          <w:p w:rsidR="00B82275" w:rsidRPr="00FA5A84" w:rsidRDefault="00B82275" w:rsidP="00B82275">
            <w:pPr>
              <w:pStyle w:val="m5874095947225310608gmail-normal1"/>
              <w:shd w:val="clear" w:color="auto" w:fill="FFFFFF"/>
              <w:spacing w:before="0" w:beforeAutospacing="0" w:after="0" w:afterAutospacing="0" w:line="276" w:lineRule="auto"/>
              <w:ind w:left="360" w:firstLine="348"/>
              <w:jc w:val="both"/>
              <w:rPr>
                <w:color w:val="000000"/>
                <w:lang w:val="es-ES_tradnl"/>
              </w:rPr>
            </w:pPr>
            <w:r w:rsidRPr="00FA5A84">
              <w:rPr>
                <w:color w:val="000000"/>
                <w:lang w:val="es-ES_tradnl"/>
              </w:rPr>
              <w:t>Muy alto:</w:t>
            </w:r>
            <w:r w:rsidRPr="00FA5A84">
              <w:rPr>
                <w:color w:val="000000"/>
                <w:lang w:val="es-ES_tradnl"/>
              </w:rPr>
              <w:tab/>
              <w:t xml:space="preserve">si </w:t>
            </w:r>
            <m:oMath>
              <m:r>
                <w:rPr>
                  <w:rFonts w:ascii="Cambria Math" w:hAnsi="Cambria Math"/>
                  <w:color w:val="000000"/>
                  <w:lang w:val="es-ES_tradnl"/>
                </w:rPr>
                <m:t>U</m:t>
              </m:r>
              <m:r>
                <w:rPr>
                  <w:rFonts w:ascii="Cambria Math"/>
                  <w:color w:val="000000"/>
                  <w:lang w:val="es-ES_tradnl"/>
                </w:rPr>
                <m:t>&gt;</m:t>
              </m:r>
              <m:sSub>
                <m:sSubPr>
                  <m:ctrlPr>
                    <w:rPr>
                      <w:rFonts w:ascii="Cambria Math" w:hAnsi="Cambria Math"/>
                      <w:i/>
                      <w:color w:val="000000"/>
                      <w:lang w:val="es-ES_tradnl"/>
                    </w:rPr>
                  </m:ctrlPr>
                </m:sSubPr>
                <m:e>
                  <m:r>
                    <w:rPr>
                      <w:rFonts w:ascii="Cambria Math" w:hAnsi="Cambria Math"/>
                      <w:color w:val="000000"/>
                      <w:lang w:val="es-ES_tradnl"/>
                    </w:rPr>
                    <m:t>n</m:t>
                  </m:r>
                </m:e>
                <m:sub>
                  <m:r>
                    <w:rPr>
                      <w:rFonts w:ascii="Cambria Math"/>
                      <w:color w:val="000000"/>
                      <w:lang w:val="es-ES_tradnl"/>
                    </w:rPr>
                    <m:t>1</m:t>
                  </m:r>
                </m:sub>
              </m:sSub>
            </m:oMath>
          </w:p>
          <w:p w:rsidR="00B82275" w:rsidRPr="00FA5A84" w:rsidRDefault="00B82275" w:rsidP="00B82275">
            <w:pPr>
              <w:pStyle w:val="m5874095947225310608gmail-normal1"/>
              <w:shd w:val="clear" w:color="auto" w:fill="FFFFFF"/>
              <w:spacing w:before="0" w:beforeAutospacing="0" w:after="0" w:afterAutospacing="0" w:line="276" w:lineRule="auto"/>
              <w:ind w:left="360" w:firstLine="348"/>
              <w:jc w:val="both"/>
              <w:rPr>
                <w:color w:val="000000"/>
                <w:lang w:val="es-ES_tradnl"/>
              </w:rPr>
            </w:pPr>
            <w:r w:rsidRPr="00FA5A84">
              <w:rPr>
                <w:color w:val="000000"/>
                <w:lang w:val="es-ES_tradnl"/>
              </w:rPr>
              <w:t>Alto:</w:t>
            </w:r>
            <w:r w:rsidRPr="00FA5A84">
              <w:rPr>
                <w:color w:val="000000"/>
                <w:lang w:val="es-ES_tradnl"/>
              </w:rPr>
              <w:tab/>
            </w:r>
            <w:r w:rsidRPr="00FA5A84">
              <w:rPr>
                <w:color w:val="000000"/>
                <w:lang w:val="es-ES_tradnl"/>
              </w:rPr>
              <w:tab/>
              <w:t xml:space="preserve">si </w:t>
            </w:r>
            <m:oMath>
              <m:sSub>
                <m:sSubPr>
                  <m:ctrlPr>
                    <w:rPr>
                      <w:rFonts w:ascii="Cambria Math" w:hAnsi="Cambria Math"/>
                      <w:i/>
                      <w:color w:val="000000"/>
                      <w:lang w:val="es-ES_tradnl"/>
                    </w:rPr>
                  </m:ctrlPr>
                </m:sSubPr>
                <m:e>
                  <m:r>
                    <w:rPr>
                      <w:rFonts w:ascii="Cambria Math" w:hAnsi="Cambria Math"/>
                      <w:color w:val="000000"/>
                      <w:lang w:val="es-ES_tradnl"/>
                    </w:rPr>
                    <m:t>n</m:t>
                  </m:r>
                </m:e>
                <m:sub>
                  <m:r>
                    <w:rPr>
                      <w:rFonts w:ascii="Cambria Math"/>
                      <w:color w:val="000000"/>
                      <w:lang w:val="es-ES_tradnl"/>
                    </w:rPr>
                    <m:t>1</m:t>
                  </m:r>
                </m:sub>
              </m:sSub>
              <m:r>
                <w:rPr>
                  <w:rFonts w:ascii="Cambria Math"/>
                  <w:color w:val="000000"/>
                  <w:lang w:val="es-ES_tradnl"/>
                </w:rPr>
                <m:t>&gt;</m:t>
              </m:r>
              <m:r>
                <w:rPr>
                  <w:rFonts w:ascii="Cambria Math" w:hAnsi="Cambria Math"/>
                  <w:color w:val="000000"/>
                  <w:lang w:val="es-ES_tradnl"/>
                </w:rPr>
                <m:t>U</m:t>
              </m:r>
              <m:r>
                <w:rPr>
                  <w:rFonts w:ascii="Cambria Math"/>
                  <w:color w:val="000000"/>
                  <w:lang w:val="es-ES_tradnl"/>
                </w:rPr>
                <m:t>&gt;</m:t>
              </m:r>
              <m:sSub>
                <m:sSubPr>
                  <m:ctrlPr>
                    <w:rPr>
                      <w:rFonts w:ascii="Cambria Math" w:hAnsi="Cambria Math"/>
                      <w:i/>
                      <w:color w:val="000000"/>
                      <w:lang w:val="es-ES_tradnl"/>
                    </w:rPr>
                  </m:ctrlPr>
                </m:sSubPr>
                <m:e>
                  <m:r>
                    <w:rPr>
                      <w:rFonts w:ascii="Cambria Math" w:hAnsi="Cambria Math"/>
                      <w:color w:val="000000"/>
                      <w:lang w:val="es-ES_tradnl"/>
                    </w:rPr>
                    <m:t>n</m:t>
                  </m:r>
                </m:e>
                <m:sub>
                  <m:r>
                    <w:rPr>
                      <w:rFonts w:ascii="Cambria Math"/>
                      <w:color w:val="000000"/>
                      <w:lang w:val="es-ES_tradnl"/>
                    </w:rPr>
                    <m:t>2</m:t>
                  </m:r>
                </m:sub>
              </m:sSub>
            </m:oMath>
          </w:p>
          <w:p w:rsidR="00B82275" w:rsidRPr="00FA5A84" w:rsidRDefault="00B82275" w:rsidP="00B82275">
            <w:pPr>
              <w:pStyle w:val="m5874095947225310608gmail-normal1"/>
              <w:shd w:val="clear" w:color="auto" w:fill="FFFFFF"/>
              <w:spacing w:before="0" w:beforeAutospacing="0" w:after="0" w:afterAutospacing="0" w:line="276" w:lineRule="auto"/>
              <w:ind w:left="360" w:firstLine="348"/>
              <w:jc w:val="both"/>
              <w:rPr>
                <w:color w:val="000000"/>
                <w:lang w:val="es-ES_tradnl"/>
              </w:rPr>
            </w:pPr>
            <w:r w:rsidRPr="00FA5A84">
              <w:rPr>
                <w:color w:val="000000"/>
                <w:lang w:val="es-ES_tradnl"/>
              </w:rPr>
              <w:t>Bajo:</w:t>
            </w:r>
            <w:r w:rsidRPr="00FA5A84">
              <w:rPr>
                <w:color w:val="000000"/>
                <w:lang w:val="es-ES_tradnl"/>
              </w:rPr>
              <w:tab/>
            </w:r>
            <w:r w:rsidRPr="00FA5A84">
              <w:rPr>
                <w:color w:val="000000"/>
                <w:lang w:val="es-ES_tradnl"/>
              </w:rPr>
              <w:tab/>
              <w:t xml:space="preserve">si </w:t>
            </w:r>
            <m:oMath>
              <m:sSub>
                <m:sSubPr>
                  <m:ctrlPr>
                    <w:rPr>
                      <w:rFonts w:ascii="Cambria Math" w:hAnsi="Cambria Math"/>
                      <w:i/>
                      <w:color w:val="000000"/>
                      <w:lang w:val="es-ES_tradnl"/>
                    </w:rPr>
                  </m:ctrlPr>
                </m:sSubPr>
                <m:e>
                  <m:r>
                    <w:rPr>
                      <w:rFonts w:ascii="Cambria Math" w:hAnsi="Cambria Math"/>
                      <w:color w:val="000000"/>
                      <w:lang w:val="es-ES_tradnl"/>
                    </w:rPr>
                    <m:t>n</m:t>
                  </m:r>
                </m:e>
                <m:sub>
                  <m:r>
                    <w:rPr>
                      <w:rFonts w:ascii="Cambria Math"/>
                      <w:color w:val="000000"/>
                      <w:lang w:val="es-ES_tradnl"/>
                    </w:rPr>
                    <m:t>2</m:t>
                  </m:r>
                </m:sub>
              </m:sSub>
              <m:r>
                <w:rPr>
                  <w:rFonts w:ascii="Cambria Math"/>
                  <w:color w:val="000000"/>
                  <w:lang w:val="es-ES_tradnl"/>
                </w:rPr>
                <m:t>&gt;</m:t>
              </m:r>
              <m:r>
                <w:rPr>
                  <w:rFonts w:ascii="Cambria Math" w:hAnsi="Cambria Math"/>
                  <w:color w:val="000000"/>
                  <w:lang w:val="es-ES_tradnl"/>
                </w:rPr>
                <m:t>U</m:t>
              </m:r>
              <m:r>
                <w:rPr>
                  <w:rFonts w:ascii="Cambria Math"/>
                  <w:color w:val="000000"/>
                  <w:lang w:val="es-ES_tradnl"/>
                </w:rPr>
                <m:t>&gt;</m:t>
              </m:r>
              <m:sSub>
                <m:sSubPr>
                  <m:ctrlPr>
                    <w:rPr>
                      <w:rFonts w:ascii="Cambria Math" w:hAnsi="Cambria Math"/>
                      <w:i/>
                      <w:color w:val="000000"/>
                      <w:lang w:val="es-ES_tradnl"/>
                    </w:rPr>
                  </m:ctrlPr>
                </m:sSubPr>
                <m:e>
                  <m:r>
                    <w:rPr>
                      <w:rFonts w:ascii="Cambria Math" w:hAnsi="Cambria Math"/>
                      <w:color w:val="000000"/>
                      <w:lang w:val="es-ES_tradnl"/>
                    </w:rPr>
                    <m:t>n</m:t>
                  </m:r>
                </m:e>
                <m:sub>
                  <m:r>
                    <w:rPr>
                      <w:rFonts w:ascii="Cambria Math"/>
                      <w:color w:val="000000"/>
                      <w:lang w:val="es-ES_tradnl"/>
                    </w:rPr>
                    <m:t>3</m:t>
                  </m:r>
                </m:sub>
              </m:sSub>
            </m:oMath>
          </w:p>
          <w:p w:rsidR="00B82275" w:rsidRPr="00FA5A84" w:rsidRDefault="00B82275" w:rsidP="00B82275">
            <w:pPr>
              <w:pStyle w:val="m5874095947225310608gmail-normal1"/>
              <w:shd w:val="clear" w:color="auto" w:fill="FFFFFF"/>
              <w:spacing w:before="0" w:beforeAutospacing="0" w:after="0" w:afterAutospacing="0" w:line="276" w:lineRule="auto"/>
              <w:ind w:left="360" w:firstLine="348"/>
              <w:jc w:val="both"/>
              <w:rPr>
                <w:color w:val="000000"/>
                <w:lang w:val="es-ES_tradnl"/>
              </w:rPr>
            </w:pPr>
            <w:r w:rsidRPr="00FA5A84">
              <w:rPr>
                <w:color w:val="000000"/>
                <w:lang w:val="es-ES_tradnl"/>
              </w:rPr>
              <w:t>Muy bajo:</w:t>
            </w:r>
            <w:r w:rsidRPr="00FA5A84">
              <w:rPr>
                <w:color w:val="000000"/>
                <w:lang w:val="es-ES_tradnl"/>
              </w:rPr>
              <w:tab/>
              <w:t xml:space="preserve">si </w:t>
            </w:r>
            <m:oMath>
              <m:sSub>
                <m:sSubPr>
                  <m:ctrlPr>
                    <w:rPr>
                      <w:rFonts w:ascii="Cambria Math" w:hAnsi="Cambria Math"/>
                      <w:i/>
                      <w:color w:val="000000"/>
                      <w:lang w:val="es-ES_tradnl"/>
                    </w:rPr>
                  </m:ctrlPr>
                </m:sSubPr>
                <m:e>
                  <m:r>
                    <w:rPr>
                      <w:rFonts w:ascii="Cambria Math" w:hAnsi="Cambria Math"/>
                      <w:color w:val="000000"/>
                      <w:lang w:val="es-ES_tradnl"/>
                    </w:rPr>
                    <m:t>n</m:t>
                  </m:r>
                </m:e>
                <m:sub>
                  <m:r>
                    <w:rPr>
                      <w:rFonts w:ascii="Cambria Math"/>
                      <w:color w:val="000000"/>
                      <w:lang w:val="es-ES_tradnl"/>
                    </w:rPr>
                    <m:t>3</m:t>
                  </m:r>
                </m:sub>
              </m:sSub>
              <m:r>
                <w:rPr>
                  <w:rFonts w:ascii="Cambria Math"/>
                  <w:color w:val="000000"/>
                  <w:lang w:val="es-ES_tradnl"/>
                </w:rPr>
                <m:t>&gt;</m:t>
              </m:r>
              <m:r>
                <w:rPr>
                  <w:rFonts w:ascii="Cambria Math" w:hAnsi="Cambria Math"/>
                  <w:color w:val="000000"/>
                  <w:lang w:val="es-ES_tradnl"/>
                </w:rPr>
                <m:t>U</m:t>
              </m:r>
            </m:oMath>
          </w:p>
          <w:p w:rsidR="00B82275" w:rsidRPr="00FA5A84" w:rsidRDefault="00B82275" w:rsidP="00B82275">
            <w:pPr>
              <w:pStyle w:val="Prrafodelista"/>
              <w:autoSpaceDE w:val="0"/>
              <w:autoSpaceDN w:val="0"/>
              <w:adjustRightInd w:val="0"/>
              <w:spacing w:after="0" w:line="276" w:lineRule="auto"/>
              <w:ind w:left="360"/>
              <w:jc w:val="both"/>
              <w:rPr>
                <w:rFonts w:ascii="Times New Roman" w:hAnsi="Times New Roman" w:cs="Times New Roman"/>
                <w:sz w:val="24"/>
                <w:szCs w:val="24"/>
              </w:rPr>
            </w:pPr>
            <w:r w:rsidRPr="00FA5A84">
              <w:rPr>
                <w:rFonts w:ascii="Times New Roman" w:hAnsi="Times New Roman" w:cs="Times New Roman"/>
                <w:sz w:val="24"/>
                <w:szCs w:val="24"/>
              </w:rPr>
              <w:t>El Índice de Potencial calificará la relación existente entre un conjunto de variables relacionadas con componentes urbanos y cada uno de los predios con potencial de densificación, ya sea mediante renovación urbana, redesarrollo o desarrollo dentro del ámbito de estudio. Las variables tendrán una ponderación diferenciada dentro del coeficiente total y estarán agrupadas por afinidad temática en los siguientes componentes 1) Aptitud de desarrollo, 2) Estructura urbana de soporte, y 3) Dinámica inmobiliaria.</w:t>
            </w:r>
          </w:p>
          <w:p w:rsidR="00B82275" w:rsidRPr="00FA5A84" w:rsidRDefault="00B82275" w:rsidP="00B82275">
            <w:pPr>
              <w:pStyle w:val="Prrafodelista"/>
              <w:autoSpaceDE w:val="0"/>
              <w:autoSpaceDN w:val="0"/>
              <w:adjustRightInd w:val="0"/>
              <w:spacing w:after="0" w:line="276" w:lineRule="auto"/>
              <w:ind w:left="360"/>
              <w:jc w:val="both"/>
              <w:rPr>
                <w:rFonts w:ascii="Times New Roman" w:hAnsi="Times New Roman" w:cs="Times New Roman"/>
                <w:sz w:val="24"/>
                <w:szCs w:val="24"/>
              </w:rPr>
            </w:pPr>
            <w:r w:rsidRPr="00FA5A84">
              <w:rPr>
                <w:rFonts w:ascii="Times New Roman" w:hAnsi="Times New Roman" w:cs="Times New Roman"/>
                <w:sz w:val="24"/>
                <w:szCs w:val="24"/>
              </w:rPr>
              <w:t xml:space="preserve">El Índice de Potencial por área (conjunto de predios) será la suma de los valores óptimos: </w:t>
            </w:r>
          </w:p>
          <w:p w:rsidR="00B82275" w:rsidRPr="00FA5A84" w:rsidRDefault="00B82275" w:rsidP="00B82275">
            <w:pPr>
              <w:rPr>
                <w:rFonts w:ascii="Times New Roman" w:hAnsi="Times New Roman" w:cs="Times New Roman"/>
                <w:sz w:val="24"/>
                <w:szCs w:val="24"/>
                <w:lang w:val="es-ES_tradnl"/>
              </w:rPr>
            </w:pPr>
            <w:r w:rsidRPr="00FA5A84">
              <w:rPr>
                <w:rFonts w:ascii="Times New Roman" w:hAnsi="Times New Roman" w:cs="Times New Roman"/>
                <w:sz w:val="24"/>
                <w:szCs w:val="24"/>
              </w:rPr>
              <w:tab/>
            </w:r>
            <w:r w:rsidRPr="00FA5A84">
              <w:rPr>
                <w:rFonts w:ascii="Times New Roman" w:hAnsi="Times New Roman" w:cs="Times New Roman"/>
                <w:sz w:val="24"/>
                <w:szCs w:val="24"/>
                <w:lang w:val="es-ES_tradnl"/>
              </w:rPr>
              <w:br/>
            </w:r>
            <m:oMathPara>
              <m:oMath>
                <m:r>
                  <w:rPr>
                    <w:rFonts w:ascii="Times New Roman" w:hAnsi="Times New Roman" w:cs="Times New Roman"/>
                    <w:sz w:val="24"/>
                    <w:szCs w:val="24"/>
                    <w:lang w:val="es-ES_tradnl"/>
                  </w:rPr>
                  <m:t>Í</m:t>
                </m:r>
                <m:r>
                  <w:rPr>
                    <w:rFonts w:ascii="Cambria Math" w:hAnsi="Cambria Math" w:cs="Times New Roman"/>
                    <w:sz w:val="24"/>
                    <w:szCs w:val="24"/>
                    <w:lang w:val="es-ES_tradnl"/>
                  </w:rPr>
                  <m:t>ndice</m:t>
                </m:r>
                <m:r>
                  <w:rPr>
                    <w:rFonts w:ascii="Cambria Math" w:hAnsi="Times New Roman" w:cs="Times New Roman"/>
                    <w:sz w:val="24"/>
                    <w:szCs w:val="24"/>
                    <w:lang w:val="es-ES_tradnl"/>
                  </w:rPr>
                  <m:t xml:space="preserve"> </m:t>
                </m:r>
                <m:r>
                  <w:rPr>
                    <w:rFonts w:ascii="Cambria Math" w:hAnsi="Cambria Math" w:cs="Times New Roman"/>
                    <w:sz w:val="24"/>
                    <w:szCs w:val="24"/>
                    <w:lang w:val="es-ES_tradnl"/>
                  </w:rPr>
                  <m:t>de</m:t>
                </m:r>
                <m:r>
                  <w:rPr>
                    <w:rFonts w:ascii="Cambria Math" w:hAnsi="Times New Roman" w:cs="Times New Roman"/>
                    <w:sz w:val="24"/>
                    <w:szCs w:val="24"/>
                    <w:lang w:val="es-ES_tradnl"/>
                  </w:rPr>
                  <m:t xml:space="preserve"> </m:t>
                </m:r>
                <m:r>
                  <w:rPr>
                    <w:rFonts w:ascii="Cambria Math" w:hAnsi="Cambria Math" w:cs="Times New Roman"/>
                    <w:sz w:val="24"/>
                    <w:szCs w:val="24"/>
                    <w:lang w:val="es-ES_tradnl"/>
                  </w:rPr>
                  <m:t>Potencial</m:t>
                </m:r>
                <m:r>
                  <w:rPr>
                    <w:rFonts w:ascii="Cambria Math" w:hAnsi="Times New Roman" w:cs="Times New Roman"/>
                    <w:sz w:val="24"/>
                    <w:szCs w:val="24"/>
                    <w:lang w:val="es-ES_tradnl"/>
                  </w:rPr>
                  <m:t>=</m:t>
                </m:r>
                <m:nary>
                  <m:naryPr>
                    <m:chr m:val="∑"/>
                    <m:limLoc m:val="undOvr"/>
                    <m:ctrlPr>
                      <w:rPr>
                        <w:rFonts w:ascii="Cambria Math" w:hAnsi="Times New Roman" w:cs="Times New Roman"/>
                        <w:i/>
                        <w:sz w:val="24"/>
                        <w:szCs w:val="24"/>
                        <w:lang w:val="es-ES_tradnl"/>
                      </w:rPr>
                    </m:ctrlPr>
                  </m:naryPr>
                  <m:sub>
                    <m:r>
                      <w:rPr>
                        <w:rFonts w:ascii="Cambria Math" w:hAnsi="Cambria Math" w:cs="Times New Roman"/>
                        <w:sz w:val="24"/>
                        <w:szCs w:val="24"/>
                        <w:lang w:val="es-ES_tradnl"/>
                      </w:rPr>
                      <m:t>i</m:t>
                    </m:r>
                    <m:r>
                      <w:rPr>
                        <w:rFonts w:ascii="Cambria Math" w:hAnsi="Times New Roman" w:cs="Times New Roman"/>
                        <w:sz w:val="24"/>
                        <w:szCs w:val="24"/>
                        <w:lang w:val="es-ES_tradnl"/>
                      </w:rPr>
                      <m:t>=1</m:t>
                    </m:r>
                  </m:sub>
                  <m:sup>
                    <m:r>
                      <w:rPr>
                        <w:rFonts w:ascii="Cambria Math" w:hAnsi="Cambria Math" w:cs="Times New Roman"/>
                        <w:sz w:val="24"/>
                        <w:szCs w:val="24"/>
                        <w:lang w:val="es-ES_tradnl"/>
                      </w:rPr>
                      <m:t>n</m:t>
                    </m:r>
                  </m:sup>
                  <m:e>
                    <m:sSub>
                      <m:sSubPr>
                        <m:ctrlPr>
                          <w:rPr>
                            <w:rFonts w:ascii="Cambria Math" w:hAnsi="Times New Roman" w:cs="Times New Roman"/>
                            <w:i/>
                            <w:sz w:val="24"/>
                            <w:szCs w:val="24"/>
                            <w:lang w:val="es-ES_tradnl"/>
                          </w:rPr>
                        </m:ctrlPr>
                      </m:sSubPr>
                      <m:e>
                        <m:r>
                          <w:rPr>
                            <w:rFonts w:ascii="Cambria Math" w:hAnsi="Cambria Math" w:cs="Times New Roman"/>
                            <w:sz w:val="24"/>
                            <w:szCs w:val="24"/>
                            <w:lang w:val="es-ES_tradnl"/>
                          </w:rPr>
                          <m:t>α</m:t>
                        </m:r>
                      </m:e>
                      <m:sub>
                        <m:r>
                          <w:rPr>
                            <w:rFonts w:ascii="Cambria Math" w:hAnsi="Cambria Math" w:cs="Times New Roman"/>
                            <w:sz w:val="24"/>
                            <w:szCs w:val="24"/>
                            <w:lang w:val="es-ES_tradnl"/>
                          </w:rPr>
                          <m:t>i</m:t>
                        </m:r>
                      </m:sub>
                    </m:sSub>
                    <m:sSub>
                      <m:sSubPr>
                        <m:ctrlPr>
                          <w:rPr>
                            <w:rFonts w:ascii="Cambria Math" w:hAnsi="Times New Roman" w:cs="Times New Roman"/>
                            <w:i/>
                            <w:sz w:val="24"/>
                            <w:szCs w:val="24"/>
                            <w:lang w:val="es-ES_tradnl"/>
                          </w:rPr>
                        </m:ctrlPr>
                      </m:sSubPr>
                      <m:e>
                        <m:r>
                          <w:rPr>
                            <w:rFonts w:ascii="Cambria Math" w:hAnsi="Cambria Math" w:cs="Times New Roman"/>
                            <w:sz w:val="24"/>
                            <w:szCs w:val="24"/>
                            <w:lang w:val="es-ES_tradnl"/>
                          </w:rPr>
                          <m:t>β</m:t>
                        </m:r>
                      </m:e>
                      <m:sub>
                        <m:r>
                          <w:rPr>
                            <w:rFonts w:ascii="Cambria Math" w:hAnsi="Cambria Math" w:cs="Times New Roman"/>
                            <w:sz w:val="24"/>
                            <w:szCs w:val="24"/>
                            <w:lang w:val="es-ES_tradnl"/>
                          </w:rPr>
                          <m:t>i</m:t>
                        </m:r>
                      </m:sub>
                    </m:sSub>
                  </m:e>
                </m:nary>
              </m:oMath>
            </m:oMathPara>
          </w:p>
          <w:p w:rsidR="00B82275" w:rsidRPr="00FA5A84" w:rsidRDefault="00B82275" w:rsidP="00B82275">
            <w:pPr>
              <w:pStyle w:val="Prrafodelista"/>
              <w:autoSpaceDE w:val="0"/>
              <w:autoSpaceDN w:val="0"/>
              <w:adjustRightInd w:val="0"/>
              <w:spacing w:after="0" w:line="276" w:lineRule="auto"/>
              <w:ind w:left="360"/>
              <w:jc w:val="both"/>
              <w:rPr>
                <w:rFonts w:ascii="Times New Roman" w:hAnsi="Times New Roman" w:cs="Times New Roman"/>
                <w:sz w:val="24"/>
                <w:szCs w:val="24"/>
              </w:rPr>
            </w:pPr>
            <w:r w:rsidRPr="00FA5A84">
              <w:rPr>
                <w:rFonts w:ascii="Times New Roman" w:hAnsi="Times New Roman" w:cs="Times New Roman"/>
                <w:sz w:val="24"/>
                <w:szCs w:val="24"/>
              </w:rPr>
              <w:t>Donde:</w:t>
            </w:r>
          </w:p>
          <w:p w:rsidR="00B82275" w:rsidRPr="00FA5A84" w:rsidRDefault="00B82275" w:rsidP="00B82275">
            <w:pPr>
              <w:pStyle w:val="Prrafodelista"/>
              <w:autoSpaceDE w:val="0"/>
              <w:autoSpaceDN w:val="0"/>
              <w:adjustRightInd w:val="0"/>
              <w:spacing w:after="0" w:line="276" w:lineRule="auto"/>
              <w:ind w:left="708"/>
              <w:jc w:val="both"/>
              <w:rPr>
                <w:rFonts w:ascii="Times New Roman" w:hAnsi="Times New Roman" w:cs="Times New Roman"/>
                <w:sz w:val="24"/>
                <w:szCs w:val="24"/>
              </w:rPr>
            </w:pPr>
            <w:proofErr w:type="gramStart"/>
            <w:r w:rsidRPr="00FA5A84">
              <w:rPr>
                <w:rFonts w:ascii="Times New Roman" w:hAnsi="Times New Roman" w:cs="Times New Roman"/>
                <w:sz w:val="24"/>
                <w:szCs w:val="24"/>
              </w:rPr>
              <w:t>n</w:t>
            </w:r>
            <w:proofErr w:type="gramEnd"/>
            <w:r w:rsidRPr="00FA5A84">
              <w:rPr>
                <w:rFonts w:ascii="Times New Roman" w:hAnsi="Times New Roman" w:cs="Times New Roman"/>
                <w:sz w:val="24"/>
                <w:szCs w:val="24"/>
              </w:rPr>
              <w:t>, es el número de variables evaluadas.</w:t>
            </w:r>
          </w:p>
          <w:p w:rsidR="00B82275" w:rsidRPr="00FA5A84" w:rsidRDefault="00B82275" w:rsidP="00B82275">
            <w:pPr>
              <w:pStyle w:val="Prrafodelista"/>
              <w:autoSpaceDE w:val="0"/>
              <w:autoSpaceDN w:val="0"/>
              <w:adjustRightInd w:val="0"/>
              <w:spacing w:after="0" w:line="276" w:lineRule="auto"/>
              <w:ind w:left="708"/>
              <w:jc w:val="both"/>
              <w:rPr>
                <w:rFonts w:ascii="Times New Roman" w:hAnsi="Times New Roman" w:cs="Times New Roman"/>
                <w:sz w:val="24"/>
                <w:szCs w:val="24"/>
              </w:rPr>
            </w:pPr>
            <w:proofErr w:type="gramStart"/>
            <w:r w:rsidRPr="00FA5A84">
              <w:rPr>
                <w:rFonts w:ascii="Times New Roman" w:hAnsi="Times New Roman" w:cs="Times New Roman"/>
                <w:sz w:val="24"/>
                <w:szCs w:val="24"/>
              </w:rPr>
              <w:t>i</w:t>
            </w:r>
            <w:proofErr w:type="gramEnd"/>
            <w:r w:rsidRPr="00FA5A84">
              <w:rPr>
                <w:rFonts w:ascii="Times New Roman" w:hAnsi="Times New Roman" w:cs="Times New Roman"/>
                <w:sz w:val="24"/>
                <w:szCs w:val="24"/>
              </w:rPr>
              <w:t>, es la variable relevante determinada para el área.</w:t>
            </w:r>
          </w:p>
          <w:p w:rsidR="00B82275" w:rsidRPr="00FA5A84" w:rsidRDefault="00B82275" w:rsidP="00B82275">
            <w:pPr>
              <w:pStyle w:val="Prrafodelista"/>
              <w:autoSpaceDE w:val="0"/>
              <w:autoSpaceDN w:val="0"/>
              <w:adjustRightInd w:val="0"/>
              <w:spacing w:after="0" w:line="276" w:lineRule="auto"/>
              <w:ind w:left="708"/>
              <w:jc w:val="both"/>
              <w:rPr>
                <w:rFonts w:ascii="Times New Roman" w:hAnsi="Times New Roman" w:cs="Times New Roman"/>
                <w:sz w:val="24"/>
                <w:szCs w:val="24"/>
              </w:rPr>
            </w:pPr>
            <w:proofErr w:type="gramStart"/>
            <w:r w:rsidRPr="00FA5A84">
              <w:rPr>
                <w:rFonts w:ascii="Times New Roman" w:hAnsi="Times New Roman" w:cs="Times New Roman"/>
                <w:sz w:val="24"/>
                <w:szCs w:val="24"/>
              </w:rPr>
              <w:t>α</w:t>
            </w:r>
            <w:proofErr w:type="gramEnd"/>
            <w:r w:rsidRPr="00FA5A84">
              <w:rPr>
                <w:rFonts w:ascii="Times New Roman" w:hAnsi="Times New Roman" w:cs="Times New Roman"/>
                <w:sz w:val="24"/>
                <w:szCs w:val="24"/>
              </w:rPr>
              <w:t>, es un valor ponderador, establecido por la incidencia del potencial de densificación en el área.</w:t>
            </w:r>
            <w:r w:rsidRPr="00FA5A84">
              <w:rPr>
                <w:rFonts w:ascii="Times New Roman" w:hAnsi="Times New Roman" w:cs="Times New Roman"/>
                <w:sz w:val="24"/>
                <w:szCs w:val="24"/>
              </w:rPr>
              <w:tab/>
            </w:r>
          </w:p>
          <w:p w:rsidR="00B82275" w:rsidRPr="00FA5A84" w:rsidRDefault="00B82275" w:rsidP="00B82275">
            <w:pPr>
              <w:pStyle w:val="Prrafodelista"/>
              <w:autoSpaceDE w:val="0"/>
              <w:autoSpaceDN w:val="0"/>
              <w:adjustRightInd w:val="0"/>
              <w:spacing w:after="0" w:line="276" w:lineRule="auto"/>
              <w:ind w:left="708"/>
              <w:jc w:val="both"/>
              <w:rPr>
                <w:rFonts w:ascii="Times New Roman" w:hAnsi="Times New Roman" w:cs="Times New Roman"/>
                <w:sz w:val="24"/>
                <w:szCs w:val="24"/>
              </w:rPr>
            </w:pPr>
            <w:proofErr w:type="gramStart"/>
            <w:r w:rsidRPr="00FA5A84">
              <w:rPr>
                <w:rFonts w:ascii="Times New Roman" w:hAnsi="Times New Roman" w:cs="Times New Roman"/>
                <w:sz w:val="24"/>
                <w:szCs w:val="24"/>
              </w:rPr>
              <w:t>β</w:t>
            </w:r>
            <w:proofErr w:type="gramEnd"/>
            <w:r w:rsidRPr="00FA5A84">
              <w:rPr>
                <w:rFonts w:ascii="Times New Roman" w:hAnsi="Times New Roman" w:cs="Times New Roman"/>
                <w:sz w:val="24"/>
                <w:szCs w:val="24"/>
              </w:rPr>
              <w:t>, es la calificación determinada por el área en relación al conjunto de variables.</w:t>
            </w:r>
          </w:p>
          <w:p w:rsidR="00B82275" w:rsidRPr="00FA5A84" w:rsidRDefault="00B82275" w:rsidP="00B82275">
            <w:pPr>
              <w:pStyle w:val="Prrafodelista"/>
              <w:autoSpaceDE w:val="0"/>
              <w:autoSpaceDN w:val="0"/>
              <w:adjustRightInd w:val="0"/>
              <w:spacing w:after="0" w:line="276" w:lineRule="auto"/>
              <w:ind w:left="360"/>
              <w:jc w:val="both"/>
              <w:rPr>
                <w:rFonts w:ascii="Times New Roman" w:hAnsi="Times New Roman" w:cs="Times New Roman"/>
                <w:sz w:val="24"/>
                <w:szCs w:val="24"/>
              </w:rPr>
            </w:pPr>
            <w:r w:rsidRPr="00FA5A84">
              <w:rPr>
                <w:rFonts w:ascii="Times New Roman" w:hAnsi="Times New Roman" w:cs="Times New Roman"/>
                <w:sz w:val="24"/>
                <w:szCs w:val="24"/>
              </w:rPr>
              <w:t xml:space="preserve">Inicialmente, los predios se calificarán en cada una de las variables usando valores numéricos de 0 a 1, los cuales se agruparán en 5 rangos de proporciones semejantes. Las calificaciones de los predios que se acercan a 1 en cada variable, advierten la identificación de condiciones favorables para el desarrollo de intervenciones de densificación. Por el contrario, los predios con calificaciones por variable cercanas a 0 advierten de la presencia de condiciones inadecuadas para soportar el desarrollo de proyectos inmobiliarios destinados a vivienda. </w:t>
            </w:r>
          </w:p>
          <w:p w:rsidR="00B82275" w:rsidRPr="00FA5A84" w:rsidRDefault="00B82275" w:rsidP="00B82275">
            <w:pPr>
              <w:pStyle w:val="Prrafodelista"/>
              <w:numPr>
                <w:ilvl w:val="0"/>
                <w:numId w:val="5"/>
              </w:numPr>
              <w:autoSpaceDE w:val="0"/>
              <w:autoSpaceDN w:val="0"/>
              <w:adjustRightInd w:val="0"/>
              <w:spacing w:after="0" w:line="276" w:lineRule="auto"/>
              <w:jc w:val="both"/>
              <w:rPr>
                <w:rFonts w:ascii="Times New Roman" w:hAnsi="Times New Roman" w:cs="Times New Roman"/>
                <w:sz w:val="24"/>
                <w:szCs w:val="24"/>
              </w:rPr>
            </w:pPr>
            <w:r w:rsidRPr="00FA5A84">
              <w:rPr>
                <w:rFonts w:ascii="Times New Roman" w:hAnsi="Times New Roman" w:cs="Times New Roman"/>
                <w:sz w:val="24"/>
                <w:szCs w:val="24"/>
              </w:rPr>
              <w:t>Por último, la fase de evaluación de la incidencia busca medir el efecto de la estrategia de densificación sobre las áreas estratégicas identificadas, con respecto al</w:t>
            </w:r>
            <w:r w:rsidR="00032DF8">
              <w:rPr>
                <w:rFonts w:ascii="Times New Roman" w:hAnsi="Times New Roman" w:cs="Times New Roman"/>
                <w:sz w:val="24"/>
                <w:szCs w:val="24"/>
              </w:rPr>
              <w:t xml:space="preserve"> </w:t>
            </w:r>
            <w:r w:rsidRPr="00FA5A84">
              <w:rPr>
                <w:rFonts w:ascii="Times New Roman" w:hAnsi="Times New Roman" w:cs="Times New Roman"/>
                <w:sz w:val="24"/>
                <w:szCs w:val="24"/>
              </w:rPr>
              <w:t xml:space="preserve">déficit </w:t>
            </w:r>
            <w:r w:rsidR="00032DF8">
              <w:rPr>
                <w:rFonts w:ascii="Times New Roman" w:hAnsi="Times New Roman" w:cs="Times New Roman"/>
                <w:sz w:val="24"/>
                <w:szCs w:val="24"/>
              </w:rPr>
              <w:t>de vivienda</w:t>
            </w:r>
            <w:r w:rsidRPr="00FA5A84">
              <w:rPr>
                <w:rFonts w:ascii="Times New Roman" w:hAnsi="Times New Roman" w:cs="Times New Roman"/>
                <w:sz w:val="24"/>
                <w:szCs w:val="24"/>
              </w:rPr>
              <w:t>. La valoración de la susceptibilidad de las áreas con potencial se realiza por medio de una concreción de un sistema de cálculo de escenarios que permitan conocer dicho efecto. Este proceso consiste en la aplicación de fórmulas matemáticas que vinculan variables como usos económicos y valor de referencia del suelo, avalúo catastral, precios de mercado de las viviendas por tipo de vivienda, potencial normativo de edificabilidad, entre otros, para calcular la disminución del déficit por efecto de la estrategia de densificación. La veracidad de los resultados estará determinada por la precisión y agregación de los datos cartográficos que se deban emplear, en especial por hacer uso de predios individuales como unidad espacial de análisis.</w:t>
            </w:r>
          </w:p>
          <w:p w:rsidR="00B82275" w:rsidRPr="00FA5A84" w:rsidRDefault="00B82275" w:rsidP="00B82275">
            <w:pPr>
              <w:pStyle w:val="Default"/>
              <w:jc w:val="both"/>
            </w:pPr>
            <w:r w:rsidRPr="00FA5A84">
              <w:rPr>
                <w:lang w:val="es-ES_tradnl"/>
              </w:rPr>
              <w:t xml:space="preserve">Para desarrollar este tercer objetivo específico se utilizará un modelo </w:t>
            </w:r>
            <w:proofErr w:type="spellStart"/>
            <w:r w:rsidRPr="00FA5A84">
              <w:rPr>
                <w:lang w:val="es-ES_tradnl"/>
              </w:rPr>
              <w:t>logit</w:t>
            </w:r>
            <w:proofErr w:type="spellEnd"/>
            <w:r w:rsidRPr="00FA5A84">
              <w:rPr>
                <w:lang w:val="es-ES_tradnl"/>
              </w:rPr>
              <w:t xml:space="preserve"> para variable dependiente (déficit habitacional) a medir según la incidencia de aplicar la estrategia de densificación en la disminución del déficit habitacional. </w:t>
            </w:r>
            <w:r w:rsidRPr="00FA5A84">
              <w:t xml:space="preserve">De esta manera, el modelo vendría dado por </w:t>
            </w:r>
          </w:p>
          <w:p w:rsidR="00B82275" w:rsidRPr="00FA5A84" w:rsidRDefault="00B82275" w:rsidP="00B82275">
            <w:pPr>
              <w:pStyle w:val="Default"/>
              <w:jc w:val="both"/>
            </w:pPr>
          </w:p>
          <w:p w:rsidR="00B82275" w:rsidRPr="00FA5A84" w:rsidRDefault="00B82275" w:rsidP="00B82275">
            <w:pPr>
              <w:pStyle w:val="Default"/>
              <w:jc w:val="center"/>
            </w:pPr>
            <w:r w:rsidRPr="00FA5A84">
              <w:rPr>
                <w:rFonts w:ascii="Cambria Math" w:hAnsi="Cambria Math"/>
              </w:rPr>
              <w:t>𝐿𝑜𝑔𝑖</w:t>
            </w:r>
            <w:r w:rsidRPr="00FA5A84">
              <w:t>(</w:t>
            </w:r>
            <w:r w:rsidRPr="00FA5A84">
              <w:rPr>
                <w:rFonts w:ascii="Cambria Math" w:hAnsi="Cambria Math"/>
              </w:rPr>
              <w:t>𝑃</w:t>
            </w:r>
            <w:r w:rsidRPr="00FA5A84">
              <w:t>(</w:t>
            </w:r>
            <w:r w:rsidRPr="00FA5A84">
              <w:rPr>
                <w:rFonts w:ascii="Cambria Math" w:hAnsi="Cambria Math"/>
              </w:rPr>
              <w:t>𝑋</w:t>
            </w:r>
            <w:r w:rsidRPr="00FA5A84">
              <w:t xml:space="preserve">=1)) = </w:t>
            </w:r>
            <w:r w:rsidRPr="00FA5A84">
              <w:rPr>
                <w:rFonts w:ascii="Cambria Math" w:hAnsi="Cambria Math"/>
              </w:rPr>
              <w:t>𝛽𝑋</w:t>
            </w:r>
          </w:p>
          <w:p w:rsidR="00B82275" w:rsidRPr="00FA5A84" w:rsidRDefault="00B82275" w:rsidP="00B82275">
            <w:pPr>
              <w:autoSpaceDE w:val="0"/>
              <w:autoSpaceDN w:val="0"/>
              <w:adjustRightInd w:val="0"/>
              <w:spacing w:after="0" w:line="276" w:lineRule="auto"/>
              <w:jc w:val="both"/>
              <w:rPr>
                <w:rFonts w:ascii="Times New Roman" w:hAnsi="Times New Roman" w:cs="Times New Roman"/>
                <w:color w:val="000000"/>
                <w:sz w:val="24"/>
                <w:szCs w:val="24"/>
              </w:rPr>
            </w:pPr>
          </w:p>
          <w:p w:rsidR="00E6008D" w:rsidRPr="00FA5A84" w:rsidRDefault="00B82275" w:rsidP="006F0291">
            <w:pPr>
              <w:autoSpaceDE w:val="0"/>
              <w:autoSpaceDN w:val="0"/>
              <w:adjustRightInd w:val="0"/>
              <w:spacing w:after="0" w:line="276" w:lineRule="auto"/>
              <w:jc w:val="both"/>
              <w:rPr>
                <w:rFonts w:ascii="Times New Roman" w:eastAsia="Times New Roman" w:hAnsi="Times New Roman" w:cs="Times New Roman"/>
                <w:color w:val="222222"/>
                <w:sz w:val="24"/>
                <w:szCs w:val="24"/>
                <w:lang w:eastAsia="es-CO"/>
              </w:rPr>
            </w:pPr>
            <w:r w:rsidRPr="00FA5A84">
              <w:rPr>
                <w:rFonts w:ascii="Times New Roman" w:hAnsi="Times New Roman" w:cs="Times New Roman"/>
                <w:color w:val="000000"/>
                <w:sz w:val="24"/>
                <w:szCs w:val="24"/>
              </w:rPr>
              <w:t xml:space="preserve">Donde </w:t>
            </w:r>
            <w:r w:rsidRPr="00FA5A84">
              <w:rPr>
                <w:rFonts w:ascii="Cambria Math" w:hAnsi="Cambria Math" w:cs="Times New Roman"/>
                <w:color w:val="000000"/>
                <w:sz w:val="24"/>
                <w:szCs w:val="24"/>
              </w:rPr>
              <w:t>𝐿𝑜</w:t>
            </w:r>
            <w:r w:rsidRPr="00FA5A84">
              <w:rPr>
                <w:rFonts w:ascii="Times New Roman" w:hAnsi="Times New Roman" w:cs="Times New Roman"/>
                <w:color w:val="000000"/>
                <w:sz w:val="24"/>
                <w:szCs w:val="24"/>
              </w:rPr>
              <w:t>(</w:t>
            </w:r>
            <w:r w:rsidRPr="00FA5A84">
              <w:rPr>
                <w:rFonts w:ascii="Cambria Math" w:hAnsi="Cambria Math" w:cs="Times New Roman"/>
                <w:color w:val="000000"/>
                <w:sz w:val="24"/>
                <w:szCs w:val="24"/>
              </w:rPr>
              <w:t>𝑃</w:t>
            </w:r>
            <w:r w:rsidRPr="00FA5A84">
              <w:rPr>
                <w:rFonts w:ascii="Times New Roman" w:hAnsi="Times New Roman" w:cs="Times New Roman"/>
                <w:color w:val="000000"/>
                <w:sz w:val="24"/>
                <w:szCs w:val="24"/>
              </w:rPr>
              <w:t>(</w:t>
            </w:r>
            <w:r w:rsidRPr="00FA5A84">
              <w:rPr>
                <w:rFonts w:ascii="Cambria Math" w:hAnsi="Cambria Math" w:cs="Times New Roman"/>
                <w:color w:val="000000"/>
                <w:sz w:val="24"/>
                <w:szCs w:val="24"/>
              </w:rPr>
              <w:t>𝑋</w:t>
            </w:r>
            <w:r w:rsidRPr="00FA5A84">
              <w:rPr>
                <w:rFonts w:ascii="Times New Roman" w:hAnsi="Times New Roman" w:cs="Times New Roman"/>
                <w:color w:val="000000"/>
                <w:sz w:val="24"/>
                <w:szCs w:val="24"/>
              </w:rPr>
              <w:t xml:space="preserve">=1)) representa la función </w:t>
            </w:r>
            <w:proofErr w:type="spellStart"/>
            <w:r w:rsidRPr="00FA5A84">
              <w:rPr>
                <w:rFonts w:ascii="Times New Roman" w:hAnsi="Times New Roman" w:cs="Times New Roman"/>
                <w:color w:val="000000"/>
                <w:sz w:val="24"/>
                <w:szCs w:val="24"/>
              </w:rPr>
              <w:t>logit</w:t>
            </w:r>
            <w:proofErr w:type="spellEnd"/>
            <w:r w:rsidRPr="00FA5A84">
              <w:rPr>
                <w:rFonts w:ascii="Times New Roman" w:hAnsi="Times New Roman" w:cs="Times New Roman"/>
                <w:color w:val="000000"/>
                <w:sz w:val="24"/>
                <w:szCs w:val="24"/>
              </w:rPr>
              <w:t xml:space="preserve"> aplicada sobre la probabilidad de que un área con potencial </w:t>
            </w:r>
            <w:r w:rsidR="006F0291">
              <w:rPr>
                <w:rFonts w:ascii="Times New Roman" w:hAnsi="Times New Roman" w:cs="Times New Roman"/>
                <w:color w:val="000000"/>
                <w:sz w:val="24"/>
                <w:szCs w:val="24"/>
              </w:rPr>
              <w:t xml:space="preserve">para </w:t>
            </w:r>
            <w:r w:rsidRPr="00FA5A84">
              <w:rPr>
                <w:rFonts w:ascii="Times New Roman" w:hAnsi="Times New Roman" w:cs="Times New Roman"/>
                <w:color w:val="000000"/>
                <w:sz w:val="24"/>
                <w:szCs w:val="24"/>
              </w:rPr>
              <w:t>proyectos de vivienda</w:t>
            </w:r>
            <w:r w:rsidR="006F0291">
              <w:rPr>
                <w:rFonts w:ascii="Times New Roman" w:hAnsi="Times New Roman" w:cs="Times New Roman"/>
                <w:color w:val="000000"/>
                <w:sz w:val="24"/>
                <w:szCs w:val="24"/>
              </w:rPr>
              <w:t xml:space="preserve"> en edificaciones con índices de ocupación significativos</w:t>
            </w:r>
            <w:r w:rsidRPr="00FA5A84">
              <w:rPr>
                <w:rFonts w:ascii="Times New Roman" w:hAnsi="Times New Roman" w:cs="Times New Roman"/>
                <w:color w:val="000000"/>
                <w:sz w:val="24"/>
                <w:szCs w:val="24"/>
              </w:rPr>
              <w:t xml:space="preserve">. </w:t>
            </w:r>
            <w:r w:rsidRPr="00FA5A84">
              <w:rPr>
                <w:rFonts w:ascii="Cambria Math" w:hAnsi="Cambria Math" w:cs="Times New Roman"/>
                <w:color w:val="000000"/>
                <w:sz w:val="24"/>
                <w:szCs w:val="24"/>
              </w:rPr>
              <w:t>𝛽𝑋</w:t>
            </w:r>
            <w:r w:rsidRPr="00FA5A84">
              <w:rPr>
                <w:rFonts w:ascii="Times New Roman" w:hAnsi="Times New Roman" w:cs="Times New Roman"/>
                <w:color w:val="000000"/>
                <w:sz w:val="24"/>
                <w:szCs w:val="24"/>
              </w:rPr>
              <w:t xml:space="preserve"> determina el efecto de las variables explicativas </w:t>
            </w:r>
            <w:r w:rsidRPr="00FA5A84">
              <w:rPr>
                <w:rFonts w:ascii="Times New Roman" w:hAnsi="Times New Roman" w:cs="Times New Roman"/>
                <w:i/>
                <w:iCs/>
                <w:color w:val="000000"/>
                <w:sz w:val="24"/>
                <w:szCs w:val="24"/>
              </w:rPr>
              <w:t>(norma urbana, numero de viviendas por hectárea, número de pisos, tipo de vivienda…)</w:t>
            </w:r>
            <w:r w:rsidRPr="00FA5A84">
              <w:rPr>
                <w:rFonts w:ascii="Times New Roman" w:hAnsi="Times New Roman" w:cs="Times New Roman"/>
                <w:color w:val="000000"/>
                <w:sz w:val="24"/>
                <w:szCs w:val="24"/>
              </w:rPr>
              <w:t xml:space="preserve">. </w:t>
            </w:r>
            <w:r w:rsidRPr="00FA5A84">
              <w:rPr>
                <w:rFonts w:ascii="Times New Roman" w:hAnsi="Times New Roman" w:cs="Times New Roman"/>
                <w:color w:val="000000"/>
                <w:sz w:val="24"/>
                <w:szCs w:val="24"/>
                <w:lang w:val="es-ES_tradnl"/>
              </w:rPr>
              <w:t xml:space="preserve"> </w:t>
            </w:r>
          </w:p>
        </w:tc>
      </w:tr>
      <w:tr w:rsidR="001D6087" w:rsidRPr="00FA5A84"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Pr="00FA5A84" w:rsidRDefault="001D6087"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lastRenderedPageBreak/>
              <w:t>Resultados esperados</w:t>
            </w:r>
          </w:p>
        </w:tc>
      </w:tr>
      <w:tr w:rsidR="001D6087" w:rsidRPr="00FA5A84"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82275" w:rsidRPr="00FA5A84" w:rsidRDefault="00B82275" w:rsidP="00B82275">
            <w:pPr>
              <w:spacing w:line="276" w:lineRule="auto"/>
              <w:jc w:val="both"/>
              <w:rPr>
                <w:rFonts w:ascii="Times New Roman" w:hAnsi="Times New Roman" w:cs="Times New Roman"/>
                <w:sz w:val="24"/>
                <w:szCs w:val="24"/>
              </w:rPr>
            </w:pPr>
            <w:r w:rsidRPr="00FA5A84">
              <w:rPr>
                <w:rFonts w:ascii="Times New Roman" w:hAnsi="Times New Roman" w:cs="Times New Roman"/>
                <w:sz w:val="24"/>
                <w:szCs w:val="24"/>
              </w:rPr>
              <w:t>Proponer una estrategia de intervención en densificación en áreas con potencial, orientada a la disminución del déficit habitacional en Bogotá, cuyo impacto social se manifieste en mejorar las condiciones de los atributos urbanos (mejor uso del suelo, espacio público, mayor número de vivienda…).</w:t>
            </w:r>
          </w:p>
          <w:p w:rsidR="00B82275" w:rsidRPr="00FA5A84" w:rsidRDefault="00B82275" w:rsidP="00B82275">
            <w:pPr>
              <w:spacing w:line="276" w:lineRule="auto"/>
              <w:jc w:val="both"/>
              <w:rPr>
                <w:rFonts w:ascii="Times New Roman" w:hAnsi="Times New Roman" w:cs="Times New Roman"/>
                <w:b/>
                <w:sz w:val="24"/>
                <w:szCs w:val="24"/>
              </w:rPr>
            </w:pPr>
            <w:r w:rsidRPr="00FA5A84">
              <w:rPr>
                <w:rFonts w:ascii="Times New Roman" w:hAnsi="Times New Roman" w:cs="Times New Roman"/>
                <w:b/>
                <w:sz w:val="24"/>
                <w:szCs w:val="24"/>
              </w:rPr>
              <w:t>Productos</w:t>
            </w:r>
          </w:p>
          <w:tbl>
            <w:tblPr>
              <w:tblStyle w:val="Tablaconcuadrcula"/>
              <w:tblW w:w="0" w:type="auto"/>
              <w:jc w:val="center"/>
              <w:tblLook w:val="04A0"/>
            </w:tblPr>
            <w:tblGrid>
              <w:gridCol w:w="1883"/>
              <w:gridCol w:w="2976"/>
              <w:gridCol w:w="6204"/>
            </w:tblGrid>
            <w:tr w:rsidR="00B82275" w:rsidRPr="00FA5A84" w:rsidTr="00BC46C1">
              <w:trPr>
                <w:tblHeader/>
                <w:jc w:val="center"/>
              </w:trPr>
              <w:tc>
                <w:tcPr>
                  <w:tcW w:w="1883" w:type="dxa"/>
                </w:tcPr>
                <w:p w:rsidR="00B82275" w:rsidRPr="00FA5A84" w:rsidRDefault="00B82275" w:rsidP="00BC46C1">
                  <w:pPr>
                    <w:jc w:val="center"/>
                    <w:rPr>
                      <w:rFonts w:ascii="Times New Roman" w:hAnsi="Times New Roman" w:cs="Times New Roman"/>
                      <w:b/>
                      <w:sz w:val="24"/>
                      <w:szCs w:val="24"/>
                    </w:rPr>
                  </w:pPr>
                  <w:r w:rsidRPr="00FA5A84">
                    <w:rPr>
                      <w:rFonts w:ascii="Times New Roman" w:hAnsi="Times New Roman" w:cs="Times New Roman"/>
                      <w:b/>
                      <w:sz w:val="24"/>
                      <w:szCs w:val="24"/>
                    </w:rPr>
                    <w:t>Total horas solicitadas</w:t>
                  </w:r>
                </w:p>
              </w:tc>
              <w:tc>
                <w:tcPr>
                  <w:tcW w:w="9180" w:type="dxa"/>
                  <w:gridSpan w:val="2"/>
                </w:tcPr>
                <w:p w:rsidR="00B82275" w:rsidRPr="00FA5A84" w:rsidRDefault="00B82275" w:rsidP="00BC46C1">
                  <w:pPr>
                    <w:jc w:val="center"/>
                    <w:rPr>
                      <w:rFonts w:ascii="Times New Roman" w:hAnsi="Times New Roman" w:cs="Times New Roman"/>
                      <w:b/>
                      <w:sz w:val="24"/>
                      <w:szCs w:val="24"/>
                    </w:rPr>
                  </w:pPr>
                  <w:r w:rsidRPr="00FA5A84">
                    <w:rPr>
                      <w:rFonts w:ascii="Times New Roman" w:hAnsi="Times New Roman" w:cs="Times New Roman"/>
                      <w:b/>
                      <w:sz w:val="24"/>
                      <w:szCs w:val="24"/>
                    </w:rPr>
                    <w:t>Compromisos</w:t>
                  </w:r>
                </w:p>
              </w:tc>
            </w:tr>
            <w:tr w:rsidR="00B82275" w:rsidRPr="00FA5A84" w:rsidTr="00BC46C1">
              <w:trPr>
                <w:jc w:val="center"/>
              </w:trPr>
              <w:tc>
                <w:tcPr>
                  <w:tcW w:w="1883" w:type="dxa"/>
                  <w:vMerge w:val="restart"/>
                </w:tcPr>
                <w:p w:rsidR="00B82275" w:rsidRPr="00FA5A84" w:rsidRDefault="00B82275" w:rsidP="00163C23">
                  <w:pPr>
                    <w:jc w:val="both"/>
                    <w:rPr>
                      <w:rFonts w:ascii="Times New Roman" w:hAnsi="Times New Roman" w:cs="Times New Roman"/>
                      <w:sz w:val="24"/>
                      <w:szCs w:val="24"/>
                    </w:rPr>
                  </w:pPr>
                </w:p>
                <w:p w:rsidR="00B82275" w:rsidRPr="00FA5A84" w:rsidRDefault="00B82275" w:rsidP="00163C23">
                  <w:pPr>
                    <w:jc w:val="both"/>
                    <w:rPr>
                      <w:rFonts w:ascii="Times New Roman" w:hAnsi="Times New Roman" w:cs="Times New Roman"/>
                      <w:sz w:val="24"/>
                      <w:szCs w:val="24"/>
                    </w:rPr>
                  </w:pPr>
                </w:p>
                <w:p w:rsidR="00B82275" w:rsidRPr="00FA5A84" w:rsidRDefault="00B82275" w:rsidP="00163C23">
                  <w:pPr>
                    <w:jc w:val="both"/>
                    <w:rPr>
                      <w:rFonts w:ascii="Times New Roman" w:hAnsi="Times New Roman" w:cs="Times New Roman"/>
                      <w:sz w:val="24"/>
                      <w:szCs w:val="24"/>
                    </w:rPr>
                  </w:pPr>
                </w:p>
                <w:p w:rsidR="00B82275" w:rsidRPr="00FA5A84" w:rsidRDefault="00B82275" w:rsidP="00163C23">
                  <w:pPr>
                    <w:jc w:val="both"/>
                    <w:rPr>
                      <w:rFonts w:ascii="Times New Roman" w:hAnsi="Times New Roman" w:cs="Times New Roman"/>
                      <w:sz w:val="24"/>
                      <w:szCs w:val="24"/>
                    </w:rPr>
                  </w:pPr>
                </w:p>
                <w:p w:rsidR="00B82275" w:rsidRPr="00FA5A84" w:rsidRDefault="00B82275" w:rsidP="00163C23">
                  <w:pPr>
                    <w:jc w:val="center"/>
                    <w:rPr>
                      <w:rFonts w:ascii="Times New Roman" w:hAnsi="Times New Roman" w:cs="Times New Roman"/>
                      <w:sz w:val="24"/>
                      <w:szCs w:val="24"/>
                    </w:rPr>
                  </w:pPr>
                  <w:r w:rsidRPr="00FA5A84">
                    <w:rPr>
                      <w:rFonts w:ascii="Times New Roman" w:hAnsi="Times New Roman" w:cs="Times New Roman"/>
                      <w:sz w:val="24"/>
                      <w:szCs w:val="24"/>
                    </w:rPr>
                    <w:t>150</w:t>
                  </w:r>
                </w:p>
              </w:tc>
              <w:tc>
                <w:tcPr>
                  <w:tcW w:w="2976" w:type="dxa"/>
                </w:tcPr>
                <w:p w:rsidR="00B82275" w:rsidRPr="00FA5A84" w:rsidRDefault="00B82275" w:rsidP="00163C23">
                  <w:pPr>
                    <w:jc w:val="both"/>
                    <w:rPr>
                      <w:rFonts w:ascii="Times New Roman" w:hAnsi="Times New Roman" w:cs="Times New Roman"/>
                      <w:sz w:val="24"/>
                      <w:szCs w:val="24"/>
                    </w:rPr>
                  </w:pPr>
                  <w:r w:rsidRPr="00FA5A84">
                    <w:rPr>
                      <w:rFonts w:ascii="Times New Roman" w:hAnsi="Times New Roman" w:cs="Times New Roman"/>
                      <w:sz w:val="24"/>
                      <w:szCs w:val="24"/>
                    </w:rPr>
                    <w:t>Nuevo Conocimiento</w:t>
                  </w:r>
                </w:p>
              </w:tc>
              <w:tc>
                <w:tcPr>
                  <w:tcW w:w="6204" w:type="dxa"/>
                </w:tcPr>
                <w:p w:rsidR="00B82275" w:rsidRPr="00FA5A84" w:rsidRDefault="00B82275" w:rsidP="00163C23">
                  <w:pPr>
                    <w:jc w:val="both"/>
                    <w:rPr>
                      <w:rFonts w:ascii="Times New Roman" w:hAnsi="Times New Roman" w:cs="Times New Roman"/>
                      <w:sz w:val="24"/>
                      <w:szCs w:val="24"/>
                    </w:rPr>
                  </w:pPr>
                  <w:r w:rsidRPr="00FA5A84">
                    <w:rPr>
                      <w:rFonts w:ascii="Times New Roman" w:hAnsi="Times New Roman" w:cs="Times New Roman"/>
                      <w:sz w:val="24"/>
                      <w:szCs w:val="24"/>
                    </w:rPr>
                    <w:t>Articulo Q2 o Q3 o capítulo de libro</w:t>
                  </w:r>
                </w:p>
              </w:tc>
            </w:tr>
            <w:tr w:rsidR="00B82275" w:rsidRPr="00FA5A84" w:rsidTr="00BC46C1">
              <w:trPr>
                <w:jc w:val="center"/>
              </w:trPr>
              <w:tc>
                <w:tcPr>
                  <w:tcW w:w="1883" w:type="dxa"/>
                  <w:vMerge/>
                </w:tcPr>
                <w:p w:rsidR="00B82275" w:rsidRPr="00FA5A84" w:rsidRDefault="00B82275" w:rsidP="00163C23">
                  <w:pPr>
                    <w:jc w:val="both"/>
                    <w:rPr>
                      <w:rFonts w:ascii="Times New Roman" w:hAnsi="Times New Roman" w:cs="Times New Roman"/>
                      <w:sz w:val="24"/>
                      <w:szCs w:val="24"/>
                    </w:rPr>
                  </w:pPr>
                </w:p>
              </w:tc>
              <w:tc>
                <w:tcPr>
                  <w:tcW w:w="2976" w:type="dxa"/>
                </w:tcPr>
                <w:p w:rsidR="00B82275" w:rsidRPr="00FA5A84" w:rsidRDefault="00B82275" w:rsidP="00163C23">
                  <w:pPr>
                    <w:jc w:val="both"/>
                    <w:rPr>
                      <w:rFonts w:ascii="Times New Roman" w:hAnsi="Times New Roman" w:cs="Times New Roman"/>
                      <w:sz w:val="24"/>
                      <w:szCs w:val="24"/>
                    </w:rPr>
                  </w:pPr>
                  <w:r w:rsidRPr="00FA5A84">
                    <w:rPr>
                      <w:rFonts w:ascii="Times New Roman" w:hAnsi="Times New Roman" w:cs="Times New Roman"/>
                      <w:sz w:val="24"/>
                      <w:szCs w:val="24"/>
                    </w:rPr>
                    <w:t>Producto de apropiación social del conocimiento</w:t>
                  </w:r>
                </w:p>
              </w:tc>
              <w:tc>
                <w:tcPr>
                  <w:tcW w:w="6204" w:type="dxa"/>
                </w:tcPr>
                <w:p w:rsidR="00B82275" w:rsidRPr="00FA5A84" w:rsidRDefault="00B82275" w:rsidP="00163C23">
                  <w:pPr>
                    <w:jc w:val="both"/>
                    <w:rPr>
                      <w:rFonts w:ascii="Times New Roman" w:hAnsi="Times New Roman" w:cs="Times New Roman"/>
                      <w:sz w:val="24"/>
                      <w:szCs w:val="24"/>
                    </w:rPr>
                  </w:pPr>
                  <w:r w:rsidRPr="00FA5A84">
                    <w:rPr>
                      <w:rFonts w:ascii="Times New Roman" w:hAnsi="Times New Roman" w:cs="Times New Roman"/>
                      <w:sz w:val="24"/>
                      <w:szCs w:val="24"/>
                    </w:rPr>
                    <w:t>Informe final</w:t>
                  </w:r>
                </w:p>
                <w:p w:rsidR="00B82275" w:rsidRPr="00FA5A84" w:rsidRDefault="00B82275" w:rsidP="00163C23">
                  <w:pPr>
                    <w:jc w:val="both"/>
                    <w:rPr>
                      <w:rFonts w:ascii="Times New Roman" w:hAnsi="Times New Roman" w:cs="Times New Roman"/>
                      <w:sz w:val="24"/>
                      <w:szCs w:val="24"/>
                    </w:rPr>
                  </w:pPr>
                  <w:r w:rsidRPr="00FA5A84">
                    <w:rPr>
                      <w:rFonts w:ascii="Times New Roman" w:hAnsi="Times New Roman" w:cs="Times New Roman"/>
                      <w:sz w:val="24"/>
                      <w:szCs w:val="24"/>
                    </w:rPr>
                    <w:t>Documento de Trabajo</w:t>
                  </w:r>
                </w:p>
              </w:tc>
            </w:tr>
            <w:tr w:rsidR="00B82275" w:rsidRPr="00FA5A84" w:rsidTr="00BC46C1">
              <w:trPr>
                <w:jc w:val="center"/>
              </w:trPr>
              <w:tc>
                <w:tcPr>
                  <w:tcW w:w="1883" w:type="dxa"/>
                  <w:vMerge/>
                </w:tcPr>
                <w:p w:rsidR="00B82275" w:rsidRPr="00FA5A84" w:rsidRDefault="00B82275" w:rsidP="00163C23">
                  <w:pPr>
                    <w:jc w:val="both"/>
                    <w:rPr>
                      <w:rFonts w:ascii="Times New Roman" w:hAnsi="Times New Roman" w:cs="Times New Roman"/>
                      <w:sz w:val="24"/>
                      <w:szCs w:val="24"/>
                    </w:rPr>
                  </w:pPr>
                </w:p>
              </w:tc>
              <w:tc>
                <w:tcPr>
                  <w:tcW w:w="2976" w:type="dxa"/>
                </w:tcPr>
                <w:p w:rsidR="00B82275" w:rsidRPr="00FA5A84" w:rsidRDefault="00B82275" w:rsidP="00163C23">
                  <w:pPr>
                    <w:jc w:val="both"/>
                    <w:rPr>
                      <w:rFonts w:ascii="Times New Roman" w:hAnsi="Times New Roman" w:cs="Times New Roman"/>
                      <w:sz w:val="24"/>
                      <w:szCs w:val="24"/>
                    </w:rPr>
                  </w:pPr>
                  <w:r w:rsidRPr="00FA5A84">
                    <w:rPr>
                      <w:rFonts w:ascii="Times New Roman" w:hAnsi="Times New Roman" w:cs="Times New Roman"/>
                      <w:sz w:val="24"/>
                      <w:szCs w:val="24"/>
                    </w:rPr>
                    <w:t xml:space="preserve">Desarrollo tecnológico e innovación </w:t>
                  </w:r>
                </w:p>
              </w:tc>
              <w:tc>
                <w:tcPr>
                  <w:tcW w:w="6204" w:type="dxa"/>
                </w:tcPr>
                <w:p w:rsidR="00B82275" w:rsidRPr="00FA5A84" w:rsidRDefault="00B82275" w:rsidP="00163C23">
                  <w:pPr>
                    <w:jc w:val="both"/>
                    <w:rPr>
                      <w:rFonts w:ascii="Times New Roman" w:hAnsi="Times New Roman" w:cs="Times New Roman"/>
                      <w:sz w:val="24"/>
                      <w:szCs w:val="24"/>
                    </w:rPr>
                  </w:pPr>
                  <w:r w:rsidRPr="00FA5A84">
                    <w:rPr>
                      <w:rFonts w:ascii="Times New Roman" w:hAnsi="Times New Roman" w:cs="Times New Roman"/>
                      <w:sz w:val="24"/>
                      <w:szCs w:val="24"/>
                    </w:rPr>
                    <w:t>Innovación en transformación urbana y disminución del déficit habitacional</w:t>
                  </w:r>
                </w:p>
              </w:tc>
            </w:tr>
            <w:tr w:rsidR="00B82275" w:rsidRPr="00FA5A84" w:rsidTr="00BC46C1">
              <w:trPr>
                <w:jc w:val="center"/>
              </w:trPr>
              <w:tc>
                <w:tcPr>
                  <w:tcW w:w="1883" w:type="dxa"/>
                  <w:vMerge/>
                </w:tcPr>
                <w:p w:rsidR="00B82275" w:rsidRPr="00FA5A84" w:rsidRDefault="00B82275" w:rsidP="00163C23">
                  <w:pPr>
                    <w:jc w:val="both"/>
                    <w:rPr>
                      <w:rFonts w:ascii="Times New Roman" w:hAnsi="Times New Roman" w:cs="Times New Roman"/>
                      <w:sz w:val="24"/>
                      <w:szCs w:val="24"/>
                    </w:rPr>
                  </w:pPr>
                </w:p>
              </w:tc>
              <w:tc>
                <w:tcPr>
                  <w:tcW w:w="2976" w:type="dxa"/>
                </w:tcPr>
                <w:p w:rsidR="00B82275" w:rsidRPr="00FA5A84" w:rsidRDefault="00B82275" w:rsidP="00163C23">
                  <w:pPr>
                    <w:jc w:val="both"/>
                    <w:rPr>
                      <w:rFonts w:ascii="Times New Roman" w:hAnsi="Times New Roman" w:cs="Times New Roman"/>
                      <w:sz w:val="24"/>
                      <w:szCs w:val="24"/>
                    </w:rPr>
                  </w:pPr>
                  <w:r w:rsidRPr="00FA5A84">
                    <w:rPr>
                      <w:rFonts w:ascii="Times New Roman" w:hAnsi="Times New Roman" w:cs="Times New Roman"/>
                      <w:sz w:val="24"/>
                      <w:szCs w:val="24"/>
                    </w:rPr>
                    <w:t>Producto de formación de recurso humano</w:t>
                  </w:r>
                </w:p>
              </w:tc>
              <w:tc>
                <w:tcPr>
                  <w:tcW w:w="6204" w:type="dxa"/>
                </w:tcPr>
                <w:p w:rsidR="00B82275" w:rsidRPr="00FA5A84" w:rsidRDefault="00B82275" w:rsidP="00163C23">
                  <w:pPr>
                    <w:jc w:val="both"/>
                    <w:rPr>
                      <w:rFonts w:ascii="Times New Roman" w:hAnsi="Times New Roman" w:cs="Times New Roman"/>
                      <w:sz w:val="24"/>
                      <w:szCs w:val="24"/>
                    </w:rPr>
                  </w:pPr>
                  <w:r w:rsidRPr="00FA5A84">
                    <w:rPr>
                      <w:rFonts w:ascii="Times New Roman" w:hAnsi="Times New Roman" w:cs="Times New Roman"/>
                      <w:sz w:val="24"/>
                      <w:szCs w:val="24"/>
                    </w:rPr>
                    <w:t>Un (1) trabajo de grado de Maestría</w:t>
                  </w:r>
                </w:p>
              </w:tc>
            </w:tr>
          </w:tbl>
          <w:p w:rsidR="00B82275" w:rsidRPr="00FA5A84" w:rsidRDefault="00B82275" w:rsidP="00B82275">
            <w:pPr>
              <w:spacing w:line="276" w:lineRule="auto"/>
              <w:jc w:val="both"/>
              <w:rPr>
                <w:rFonts w:ascii="Times New Roman" w:eastAsia="Times New Roman" w:hAnsi="Times New Roman" w:cs="Times New Roman"/>
                <w:color w:val="222222"/>
                <w:sz w:val="24"/>
                <w:szCs w:val="24"/>
                <w:lang w:eastAsia="es-CO"/>
              </w:rPr>
            </w:pPr>
          </w:p>
        </w:tc>
      </w:tr>
    </w:tbl>
    <w:p w:rsidR="002A18AF" w:rsidRPr="00FA5A84" w:rsidRDefault="002A18AF" w:rsidP="002A18AF">
      <w:pPr>
        <w:spacing w:after="0" w:line="240" w:lineRule="auto"/>
        <w:rPr>
          <w:rFonts w:ascii="Times New Roman" w:eastAsia="Times New Roman" w:hAnsi="Times New Roman" w:cs="Times New Roman"/>
          <w:sz w:val="24"/>
          <w:szCs w:val="24"/>
          <w:lang w:eastAsia="es-CO"/>
        </w:rPr>
      </w:pPr>
    </w:p>
    <w:p w:rsidR="001D6087" w:rsidRPr="00FA5A84" w:rsidRDefault="001D6087" w:rsidP="002A18AF">
      <w:pPr>
        <w:spacing w:after="0" w:line="240" w:lineRule="auto"/>
        <w:rPr>
          <w:rFonts w:ascii="Times New Roman" w:eastAsia="Times New Roman" w:hAnsi="Times New Roman" w:cs="Times New Roman"/>
          <w:b/>
          <w:sz w:val="24"/>
          <w:szCs w:val="24"/>
          <w:lang w:eastAsia="es-CO"/>
        </w:rPr>
      </w:pPr>
      <w:r w:rsidRPr="00FA5A84">
        <w:rPr>
          <w:rFonts w:ascii="Times New Roman" w:eastAsia="Times New Roman" w:hAnsi="Times New Roman" w:cs="Times New Roman"/>
          <w:b/>
          <w:sz w:val="24"/>
          <w:szCs w:val="24"/>
          <w:lang w:eastAsia="es-CO"/>
        </w:rPr>
        <w:t>Cronograma</w:t>
      </w:r>
    </w:p>
    <w:tbl>
      <w:tblPr>
        <w:tblW w:w="14591" w:type="dxa"/>
        <w:tblCellMar>
          <w:left w:w="70" w:type="dxa"/>
          <w:right w:w="70" w:type="dxa"/>
        </w:tblCellMar>
        <w:tblLook w:val="04A0"/>
      </w:tblPr>
      <w:tblGrid>
        <w:gridCol w:w="1404"/>
        <w:gridCol w:w="1464"/>
        <w:gridCol w:w="535"/>
        <w:gridCol w:w="603"/>
        <w:gridCol w:w="183"/>
        <w:gridCol w:w="201"/>
        <w:gridCol w:w="201"/>
        <w:gridCol w:w="200"/>
        <w:gridCol w:w="257"/>
        <w:gridCol w:w="257"/>
        <w:gridCol w:w="257"/>
        <w:gridCol w:w="257"/>
        <w:gridCol w:w="257"/>
        <w:gridCol w:w="257"/>
        <w:gridCol w:w="170"/>
        <w:gridCol w:w="260"/>
        <w:gridCol w:w="260"/>
        <w:gridCol w:w="260"/>
        <w:gridCol w:w="260"/>
        <w:gridCol w:w="260"/>
        <w:gridCol w:w="260"/>
        <w:gridCol w:w="260"/>
        <w:gridCol w:w="260"/>
        <w:gridCol w:w="260"/>
        <w:gridCol w:w="260"/>
        <w:gridCol w:w="260"/>
        <w:gridCol w:w="140"/>
        <w:gridCol w:w="152"/>
        <w:gridCol w:w="175"/>
        <w:gridCol w:w="260"/>
        <w:gridCol w:w="260"/>
        <w:gridCol w:w="260"/>
        <w:gridCol w:w="140"/>
        <w:gridCol w:w="155"/>
        <w:gridCol w:w="260"/>
        <w:gridCol w:w="260"/>
        <w:gridCol w:w="260"/>
        <w:gridCol w:w="260"/>
        <w:gridCol w:w="260"/>
        <w:gridCol w:w="260"/>
        <w:gridCol w:w="260"/>
        <w:gridCol w:w="260"/>
        <w:gridCol w:w="260"/>
        <w:gridCol w:w="260"/>
        <w:gridCol w:w="260"/>
        <w:gridCol w:w="140"/>
        <w:gridCol w:w="155"/>
        <w:gridCol w:w="260"/>
        <w:gridCol w:w="260"/>
        <w:gridCol w:w="260"/>
        <w:gridCol w:w="6"/>
      </w:tblGrid>
      <w:tr w:rsidR="001D6087" w:rsidRPr="00FA5A84" w:rsidTr="00ED1717">
        <w:trPr>
          <w:trHeight w:val="340"/>
        </w:trPr>
        <w:tc>
          <w:tcPr>
            <w:tcW w:w="148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FA5A84" w:rsidRDefault="001D6087" w:rsidP="001D6087">
            <w:pPr>
              <w:spacing w:after="0" w:line="240" w:lineRule="auto"/>
              <w:jc w:val="center"/>
              <w:rPr>
                <w:rFonts w:ascii="Times New Roman" w:eastAsia="Times New Roman" w:hAnsi="Times New Roman" w:cs="Times New Roman"/>
                <w:b/>
                <w:bCs/>
                <w:sz w:val="24"/>
                <w:szCs w:val="24"/>
                <w:lang w:eastAsia="es-CO"/>
              </w:rPr>
            </w:pPr>
            <w:r w:rsidRPr="00FA5A84">
              <w:rPr>
                <w:rFonts w:ascii="Times New Roman" w:eastAsia="Times New Roman" w:hAnsi="Times New Roman" w:cs="Times New Roman"/>
                <w:b/>
                <w:bCs/>
                <w:sz w:val="24"/>
                <w:szCs w:val="24"/>
                <w:lang w:eastAsia="es-CO"/>
              </w:rPr>
              <w:t xml:space="preserve">   ACTIVIDADES</w:t>
            </w:r>
          </w:p>
        </w:tc>
        <w:tc>
          <w:tcPr>
            <w:tcW w:w="156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FA5A84" w:rsidRDefault="001D6087" w:rsidP="001D6087">
            <w:pPr>
              <w:spacing w:after="0" w:line="240" w:lineRule="auto"/>
              <w:jc w:val="center"/>
              <w:rPr>
                <w:rFonts w:ascii="Times New Roman" w:eastAsia="Times New Roman" w:hAnsi="Times New Roman" w:cs="Times New Roman"/>
                <w:b/>
                <w:bCs/>
                <w:sz w:val="24"/>
                <w:szCs w:val="24"/>
                <w:lang w:eastAsia="es-CO"/>
              </w:rPr>
            </w:pPr>
            <w:r w:rsidRPr="00FA5A84">
              <w:rPr>
                <w:rFonts w:ascii="Times New Roman" w:eastAsia="Times New Roman" w:hAnsi="Times New Roman" w:cs="Times New Roman"/>
                <w:b/>
                <w:bCs/>
                <w:sz w:val="24"/>
                <w:szCs w:val="24"/>
                <w:lang w:eastAsia="es-CO"/>
              </w:rPr>
              <w:t xml:space="preserve">RESPONSABLE </w:t>
            </w:r>
          </w:p>
        </w:tc>
        <w:tc>
          <w:tcPr>
            <w:tcW w:w="1419" w:type="dxa"/>
            <w:gridSpan w:val="2"/>
            <w:tcBorders>
              <w:top w:val="single" w:sz="8" w:space="0" w:color="auto"/>
              <w:left w:val="nil"/>
              <w:bottom w:val="single" w:sz="8" w:space="0" w:color="auto"/>
              <w:right w:val="nil"/>
            </w:tcBorders>
            <w:shd w:val="clear" w:color="000000" w:fill="FFCC99"/>
            <w:noWrap/>
            <w:vAlign w:val="center"/>
            <w:hideMark/>
          </w:tcPr>
          <w:p w:rsidR="001D6087" w:rsidRPr="00FA5A84" w:rsidRDefault="001D6087" w:rsidP="001D6087">
            <w:pPr>
              <w:spacing w:after="0" w:line="240" w:lineRule="auto"/>
              <w:jc w:val="center"/>
              <w:rPr>
                <w:rFonts w:ascii="Times New Roman" w:eastAsia="Times New Roman" w:hAnsi="Times New Roman" w:cs="Times New Roman"/>
                <w:b/>
                <w:bCs/>
                <w:sz w:val="24"/>
                <w:szCs w:val="24"/>
                <w:lang w:eastAsia="es-CO"/>
              </w:rPr>
            </w:pPr>
            <w:r w:rsidRPr="00FA5A84">
              <w:rPr>
                <w:rFonts w:ascii="Times New Roman" w:eastAsia="Times New Roman" w:hAnsi="Times New Roman" w:cs="Times New Roman"/>
                <w:b/>
                <w:bCs/>
                <w:sz w:val="24"/>
                <w:szCs w:val="24"/>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20"/>
                <w:szCs w:val="20"/>
                <w:lang w:eastAsia="es-CO"/>
              </w:rPr>
            </w:pPr>
            <w:r w:rsidRPr="00FA5A84">
              <w:rPr>
                <w:rFonts w:ascii="Times New Roman" w:eastAsia="Times New Roman" w:hAnsi="Times New Roman" w:cs="Times New Roman"/>
                <w:sz w:val="20"/>
                <w:szCs w:val="20"/>
                <w:lang w:eastAsia="es-CO"/>
              </w:rPr>
              <w:t> </w:t>
            </w: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FA5A84" w:rsidRDefault="001D6087" w:rsidP="001D6087">
            <w:pPr>
              <w:spacing w:after="0" w:line="240" w:lineRule="auto"/>
              <w:jc w:val="center"/>
              <w:rPr>
                <w:rFonts w:ascii="Times New Roman" w:eastAsia="Times New Roman" w:hAnsi="Times New Roman" w:cs="Times New Roman"/>
                <w:b/>
                <w:bCs/>
                <w:sz w:val="12"/>
                <w:szCs w:val="12"/>
                <w:lang w:eastAsia="es-CO"/>
              </w:rPr>
            </w:pPr>
            <w:r w:rsidRPr="00FA5A84">
              <w:rPr>
                <w:rFonts w:ascii="Times New Roman" w:eastAsia="Times New Roman" w:hAnsi="Times New Roman" w:cs="Times New Roman"/>
                <w:b/>
                <w:bCs/>
                <w:sz w:val="12"/>
                <w:szCs w:val="12"/>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FA5A84" w:rsidRDefault="001D6087" w:rsidP="001D6087">
            <w:pPr>
              <w:spacing w:after="0" w:line="240" w:lineRule="auto"/>
              <w:jc w:val="center"/>
              <w:rPr>
                <w:rFonts w:ascii="Times New Roman" w:eastAsia="Times New Roman" w:hAnsi="Times New Roman" w:cs="Times New Roman"/>
                <w:b/>
                <w:bCs/>
                <w:sz w:val="12"/>
                <w:szCs w:val="12"/>
                <w:lang w:eastAsia="es-CO"/>
              </w:rPr>
            </w:pPr>
            <w:r w:rsidRPr="00FA5A84">
              <w:rPr>
                <w:rFonts w:ascii="Times New Roman" w:eastAsia="Times New Roman" w:hAnsi="Times New Roman" w:cs="Times New Roman"/>
                <w:b/>
                <w:bCs/>
                <w:sz w:val="12"/>
                <w:szCs w:val="12"/>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FA5A84" w:rsidRDefault="001D6087" w:rsidP="001D6087">
            <w:pPr>
              <w:spacing w:after="0" w:line="240" w:lineRule="auto"/>
              <w:jc w:val="center"/>
              <w:rPr>
                <w:rFonts w:ascii="Times New Roman" w:eastAsia="Times New Roman" w:hAnsi="Times New Roman" w:cs="Times New Roman"/>
                <w:b/>
                <w:bCs/>
                <w:sz w:val="12"/>
                <w:szCs w:val="12"/>
                <w:lang w:eastAsia="es-CO"/>
              </w:rPr>
            </w:pPr>
            <w:r w:rsidRPr="00FA5A84">
              <w:rPr>
                <w:rFonts w:ascii="Times New Roman" w:eastAsia="Times New Roman" w:hAnsi="Times New Roman" w:cs="Times New Roman"/>
                <w:b/>
                <w:bCs/>
                <w:sz w:val="12"/>
                <w:szCs w:val="12"/>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rsidR="001D6087" w:rsidRPr="00FA5A84" w:rsidRDefault="001D6087" w:rsidP="001D6087">
            <w:pPr>
              <w:spacing w:after="0" w:line="240" w:lineRule="auto"/>
              <w:jc w:val="center"/>
              <w:rPr>
                <w:rFonts w:ascii="Times New Roman" w:eastAsia="Times New Roman" w:hAnsi="Times New Roman" w:cs="Times New Roman"/>
                <w:b/>
                <w:bCs/>
                <w:sz w:val="12"/>
                <w:szCs w:val="12"/>
                <w:lang w:eastAsia="es-CO"/>
              </w:rPr>
            </w:pPr>
            <w:r w:rsidRPr="00FA5A84">
              <w:rPr>
                <w:rFonts w:ascii="Times New Roman" w:eastAsia="Times New Roman" w:hAnsi="Times New Roman" w:cs="Times New Roman"/>
                <w:b/>
                <w:bCs/>
                <w:sz w:val="12"/>
                <w:szCs w:val="12"/>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FA5A84" w:rsidRDefault="001D6087" w:rsidP="001D6087">
            <w:pPr>
              <w:spacing w:after="0" w:line="240" w:lineRule="auto"/>
              <w:jc w:val="center"/>
              <w:rPr>
                <w:rFonts w:ascii="Times New Roman" w:eastAsia="Times New Roman" w:hAnsi="Times New Roman" w:cs="Times New Roman"/>
                <w:b/>
                <w:bCs/>
                <w:sz w:val="12"/>
                <w:szCs w:val="12"/>
                <w:lang w:eastAsia="es-CO"/>
              </w:rPr>
            </w:pPr>
            <w:r w:rsidRPr="00FA5A84">
              <w:rPr>
                <w:rFonts w:ascii="Times New Roman" w:eastAsia="Times New Roman" w:hAnsi="Times New Roman" w:cs="Times New Roman"/>
                <w:b/>
                <w:bCs/>
                <w:sz w:val="12"/>
                <w:szCs w:val="12"/>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FA5A84" w:rsidRDefault="001D6087" w:rsidP="001D6087">
            <w:pPr>
              <w:spacing w:after="0" w:line="240" w:lineRule="auto"/>
              <w:jc w:val="center"/>
              <w:rPr>
                <w:rFonts w:ascii="Times New Roman" w:eastAsia="Times New Roman" w:hAnsi="Times New Roman" w:cs="Times New Roman"/>
                <w:b/>
                <w:bCs/>
                <w:sz w:val="12"/>
                <w:szCs w:val="12"/>
                <w:lang w:eastAsia="es-CO"/>
              </w:rPr>
            </w:pPr>
            <w:r w:rsidRPr="00FA5A84">
              <w:rPr>
                <w:rFonts w:ascii="Times New Roman" w:eastAsia="Times New Roman" w:hAnsi="Times New Roman" w:cs="Times New Roman"/>
                <w:b/>
                <w:bCs/>
                <w:sz w:val="12"/>
                <w:szCs w:val="12"/>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rsidR="001D6087" w:rsidRPr="00FA5A84" w:rsidRDefault="001D6087" w:rsidP="001D6087">
            <w:pPr>
              <w:spacing w:after="0" w:line="240" w:lineRule="auto"/>
              <w:jc w:val="center"/>
              <w:rPr>
                <w:rFonts w:ascii="Times New Roman" w:eastAsia="Times New Roman" w:hAnsi="Times New Roman" w:cs="Times New Roman"/>
                <w:b/>
                <w:bCs/>
                <w:sz w:val="12"/>
                <w:szCs w:val="12"/>
                <w:lang w:eastAsia="es-CO"/>
              </w:rPr>
            </w:pPr>
            <w:r w:rsidRPr="00FA5A84">
              <w:rPr>
                <w:rFonts w:ascii="Times New Roman" w:eastAsia="Times New Roman" w:hAnsi="Times New Roman" w:cs="Times New Roman"/>
                <w:b/>
                <w:bCs/>
                <w:sz w:val="12"/>
                <w:szCs w:val="12"/>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FA5A84" w:rsidRDefault="001D6087" w:rsidP="001D6087">
            <w:pPr>
              <w:spacing w:after="0" w:line="240" w:lineRule="auto"/>
              <w:jc w:val="center"/>
              <w:rPr>
                <w:rFonts w:ascii="Times New Roman" w:eastAsia="Times New Roman" w:hAnsi="Times New Roman" w:cs="Times New Roman"/>
                <w:b/>
                <w:bCs/>
                <w:sz w:val="12"/>
                <w:szCs w:val="12"/>
                <w:lang w:eastAsia="es-CO"/>
              </w:rPr>
            </w:pPr>
            <w:r w:rsidRPr="00FA5A84">
              <w:rPr>
                <w:rFonts w:ascii="Times New Roman" w:eastAsia="Times New Roman" w:hAnsi="Times New Roman" w:cs="Times New Roman"/>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FA5A84" w:rsidRDefault="001D6087" w:rsidP="001D6087">
            <w:pPr>
              <w:spacing w:after="0" w:line="240" w:lineRule="auto"/>
              <w:jc w:val="center"/>
              <w:rPr>
                <w:rFonts w:ascii="Times New Roman" w:eastAsia="Times New Roman" w:hAnsi="Times New Roman" w:cs="Times New Roman"/>
                <w:b/>
                <w:bCs/>
                <w:sz w:val="12"/>
                <w:szCs w:val="12"/>
                <w:lang w:eastAsia="es-CO"/>
              </w:rPr>
            </w:pPr>
            <w:r w:rsidRPr="00FA5A84">
              <w:rPr>
                <w:rFonts w:ascii="Times New Roman" w:eastAsia="Times New Roman" w:hAnsi="Times New Roman" w:cs="Times New Roman"/>
                <w:b/>
                <w:bCs/>
                <w:sz w:val="12"/>
                <w:szCs w:val="12"/>
                <w:lang w:eastAsia="es-CO"/>
              </w:rPr>
              <w:t>OCTUBRE</w:t>
            </w:r>
          </w:p>
        </w:tc>
        <w:tc>
          <w:tcPr>
            <w:tcW w:w="998"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FA5A84" w:rsidRDefault="001D6087" w:rsidP="001D6087">
            <w:pPr>
              <w:spacing w:after="0" w:line="240" w:lineRule="auto"/>
              <w:jc w:val="center"/>
              <w:rPr>
                <w:rFonts w:ascii="Times New Roman" w:eastAsia="Times New Roman" w:hAnsi="Times New Roman" w:cs="Times New Roman"/>
                <w:b/>
                <w:bCs/>
                <w:sz w:val="12"/>
                <w:szCs w:val="12"/>
                <w:lang w:eastAsia="es-CO"/>
              </w:rPr>
            </w:pPr>
            <w:r w:rsidRPr="00FA5A84">
              <w:rPr>
                <w:rFonts w:ascii="Times New Roman" w:eastAsia="Times New Roman" w:hAnsi="Times New Roman" w:cs="Times New Roman"/>
                <w:b/>
                <w:bCs/>
                <w:sz w:val="12"/>
                <w:szCs w:val="12"/>
                <w:lang w:eastAsia="es-CO"/>
              </w:rPr>
              <w:t>NOVIEMBRE</w:t>
            </w:r>
          </w:p>
        </w:tc>
      </w:tr>
      <w:tr w:rsidR="003715BD" w:rsidRPr="00FA5A84" w:rsidTr="00ED1717">
        <w:trPr>
          <w:gridAfter w:val="1"/>
          <w:wAfter w:w="10" w:type="dxa"/>
          <w:trHeight w:val="548"/>
        </w:trPr>
        <w:tc>
          <w:tcPr>
            <w:tcW w:w="1480" w:type="dxa"/>
            <w:vMerge/>
            <w:tcBorders>
              <w:top w:val="single" w:sz="8" w:space="0" w:color="auto"/>
              <w:left w:val="single" w:sz="8" w:space="0" w:color="auto"/>
              <w:bottom w:val="single" w:sz="8" w:space="0" w:color="000000"/>
              <w:right w:val="single" w:sz="8" w:space="0" w:color="auto"/>
            </w:tcBorders>
            <w:vAlign w:val="center"/>
            <w:hideMark/>
          </w:tcPr>
          <w:p w:rsidR="001D6087" w:rsidRPr="00FA5A84" w:rsidRDefault="001D6087" w:rsidP="001D6087">
            <w:pPr>
              <w:spacing w:after="0" w:line="240" w:lineRule="auto"/>
              <w:rPr>
                <w:rFonts w:ascii="Times New Roman" w:eastAsia="Times New Roman" w:hAnsi="Times New Roman" w:cs="Times New Roman"/>
                <w:b/>
                <w:bCs/>
                <w:sz w:val="24"/>
                <w:szCs w:val="24"/>
                <w:lang w:eastAsia="es-CO"/>
              </w:rPr>
            </w:pPr>
          </w:p>
        </w:tc>
        <w:tc>
          <w:tcPr>
            <w:tcW w:w="1566" w:type="dxa"/>
            <w:vMerge/>
            <w:tcBorders>
              <w:top w:val="single" w:sz="8" w:space="0" w:color="auto"/>
              <w:left w:val="single" w:sz="8" w:space="0" w:color="auto"/>
              <w:bottom w:val="single" w:sz="8" w:space="0" w:color="000000"/>
              <w:right w:val="single" w:sz="8" w:space="0" w:color="auto"/>
            </w:tcBorders>
            <w:vAlign w:val="center"/>
            <w:hideMark/>
          </w:tcPr>
          <w:p w:rsidR="001D6087" w:rsidRPr="00FA5A84" w:rsidRDefault="001D6087" w:rsidP="001D6087">
            <w:pPr>
              <w:spacing w:after="0" w:line="240" w:lineRule="auto"/>
              <w:rPr>
                <w:rFonts w:ascii="Times New Roman" w:eastAsia="Times New Roman" w:hAnsi="Times New Roman" w:cs="Times New Roman"/>
                <w:b/>
                <w:bCs/>
                <w:sz w:val="24"/>
                <w:szCs w:val="24"/>
                <w:lang w:eastAsia="es-CO"/>
              </w:rPr>
            </w:pPr>
          </w:p>
        </w:tc>
        <w:tc>
          <w:tcPr>
            <w:tcW w:w="664" w:type="dxa"/>
            <w:tcBorders>
              <w:top w:val="nil"/>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b/>
                <w:bCs/>
                <w:sz w:val="18"/>
                <w:szCs w:val="18"/>
                <w:lang w:eastAsia="es-CO"/>
              </w:rPr>
            </w:pPr>
            <w:r w:rsidRPr="00FA5A84">
              <w:rPr>
                <w:rFonts w:ascii="Times New Roman" w:eastAsia="Times New Roman" w:hAnsi="Times New Roman" w:cs="Times New Roman"/>
                <w:b/>
                <w:bCs/>
                <w:sz w:val="18"/>
                <w:szCs w:val="18"/>
                <w:lang w:eastAsia="es-CO"/>
              </w:rPr>
              <w:t>Inicio</w:t>
            </w:r>
          </w:p>
        </w:tc>
        <w:tc>
          <w:tcPr>
            <w:tcW w:w="755" w:type="dxa"/>
            <w:tcBorders>
              <w:top w:val="nil"/>
              <w:left w:val="nil"/>
              <w:bottom w:val="single" w:sz="8" w:space="0" w:color="auto"/>
              <w:right w:val="nil"/>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b/>
                <w:bCs/>
                <w:sz w:val="18"/>
                <w:szCs w:val="18"/>
                <w:lang w:eastAsia="es-CO"/>
              </w:rPr>
            </w:pPr>
            <w:r w:rsidRPr="00FA5A84">
              <w:rPr>
                <w:rFonts w:ascii="Times New Roman" w:eastAsia="Times New Roman" w:hAnsi="Times New Roman" w:cs="Times New Roman"/>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29</w:t>
            </w:r>
          </w:p>
        </w:tc>
        <w:tc>
          <w:tcPr>
            <w:tcW w:w="265" w:type="dxa"/>
            <w:tcBorders>
              <w:top w:val="nil"/>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34</w:t>
            </w:r>
          </w:p>
        </w:tc>
        <w:tc>
          <w:tcPr>
            <w:tcW w:w="249" w:type="dxa"/>
            <w:tcBorders>
              <w:top w:val="nil"/>
              <w:left w:val="nil"/>
              <w:bottom w:val="single" w:sz="8" w:space="0" w:color="auto"/>
              <w:right w:val="nil"/>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rsidR="001D6087" w:rsidRPr="00FA5A84" w:rsidRDefault="001D6087" w:rsidP="001D6087">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41</w:t>
            </w:r>
          </w:p>
        </w:tc>
      </w:tr>
      <w:tr w:rsidR="00163C23" w:rsidRPr="00FA5A84" w:rsidTr="00163C23">
        <w:trPr>
          <w:gridAfter w:val="1"/>
          <w:wAfter w:w="10" w:type="dxa"/>
          <w:trHeight w:val="340"/>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63C23" w:rsidRPr="00FA5A84" w:rsidRDefault="00163C23" w:rsidP="00163C23">
            <w:pPr>
              <w:jc w:val="both"/>
              <w:rPr>
                <w:rFonts w:ascii="Times New Roman" w:eastAsia="Times New Roman" w:hAnsi="Times New Roman" w:cs="Times New Roman"/>
                <w:sz w:val="16"/>
                <w:szCs w:val="16"/>
                <w:lang w:eastAsia="es-CO"/>
              </w:rPr>
            </w:pPr>
            <w:r w:rsidRPr="00FA5A84">
              <w:rPr>
                <w:rFonts w:ascii="Times New Roman" w:hAnsi="Times New Roman" w:cs="Times New Roman"/>
                <w:sz w:val="16"/>
                <w:szCs w:val="16"/>
              </w:rPr>
              <w:t>Caracterización de áreas en el ámbito de estudio (Dinámica económica y condiciones socioeconómicas)</w:t>
            </w:r>
          </w:p>
        </w:tc>
        <w:tc>
          <w:tcPr>
            <w:tcW w:w="1566"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Álvaro Vernazza</w:t>
            </w:r>
          </w:p>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Oscar Arcos</w:t>
            </w:r>
          </w:p>
        </w:tc>
        <w:tc>
          <w:tcPr>
            <w:tcW w:w="664" w:type="dxa"/>
            <w:tcBorders>
              <w:top w:val="single" w:sz="8" w:space="0" w:color="auto"/>
              <w:left w:val="single" w:sz="8" w:space="0" w:color="auto"/>
              <w:bottom w:val="nil"/>
              <w:right w:val="single" w:sz="8" w:space="0" w:color="auto"/>
            </w:tcBorders>
            <w:shd w:val="clear" w:color="000000" w:fill="C0C0C0"/>
            <w:vAlign w:val="center"/>
            <w:hideMark/>
          </w:tcPr>
          <w:p w:rsidR="00163C23" w:rsidRPr="00FA5A84" w:rsidRDefault="00163C23" w:rsidP="00163C23">
            <w:pPr>
              <w:spacing w:after="0" w:line="240" w:lineRule="auto"/>
              <w:jc w:val="center"/>
              <w:rPr>
                <w:rFonts w:ascii="Times New Roman" w:eastAsia="Times New Roman" w:hAnsi="Times New Roman" w:cs="Times New Roman"/>
                <w:b/>
                <w:bCs/>
                <w:sz w:val="14"/>
                <w:szCs w:val="14"/>
                <w:lang w:eastAsia="es-CO"/>
              </w:rPr>
            </w:pPr>
            <w:r w:rsidRPr="00FA5A84">
              <w:rPr>
                <w:rFonts w:ascii="Times New Roman" w:eastAsia="Times New Roman" w:hAnsi="Times New Roman" w:cs="Times New Roman"/>
                <w:b/>
                <w:bCs/>
                <w:sz w:val="14"/>
                <w:szCs w:val="14"/>
                <w:lang w:eastAsia="es-CO"/>
              </w:rPr>
              <w:t> </w:t>
            </w:r>
          </w:p>
        </w:tc>
        <w:tc>
          <w:tcPr>
            <w:tcW w:w="755" w:type="dxa"/>
            <w:tcBorders>
              <w:top w:val="nil"/>
              <w:left w:val="nil"/>
              <w:bottom w:val="nil"/>
              <w:right w:val="nil"/>
            </w:tcBorders>
            <w:shd w:val="clear" w:color="000000" w:fill="FF8080"/>
            <w:vAlign w:val="center"/>
            <w:hideMark/>
          </w:tcPr>
          <w:p w:rsidR="00163C23" w:rsidRPr="00FA5A84" w:rsidRDefault="00163C23" w:rsidP="00163C23">
            <w:pPr>
              <w:spacing w:after="0" w:line="240" w:lineRule="auto"/>
              <w:jc w:val="center"/>
              <w:rPr>
                <w:rFonts w:ascii="Times New Roman" w:eastAsia="Times New Roman" w:hAnsi="Times New Roman" w:cs="Times New Roman"/>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211"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211"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212"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372" w:type="dxa"/>
            <w:gridSpan w:val="2"/>
            <w:tcBorders>
              <w:top w:val="single" w:sz="8" w:space="0" w:color="auto"/>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372" w:type="dxa"/>
            <w:gridSpan w:val="3"/>
            <w:tcBorders>
              <w:top w:val="single" w:sz="8" w:space="0" w:color="auto"/>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r>
      <w:tr w:rsidR="00163C23" w:rsidRPr="00FA5A84" w:rsidTr="00163C23">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63C23" w:rsidRPr="00FA5A84" w:rsidRDefault="00163C23" w:rsidP="00163C23">
            <w:pPr>
              <w:jc w:val="both"/>
              <w:rPr>
                <w:rFonts w:ascii="Times New Roman" w:hAnsi="Times New Roman" w:cs="Times New Roman"/>
                <w:sz w:val="16"/>
                <w:szCs w:val="16"/>
              </w:rPr>
            </w:pPr>
            <w:r w:rsidRPr="00FA5A84">
              <w:rPr>
                <w:rFonts w:ascii="Times New Roman" w:hAnsi="Times New Roman" w:cs="Times New Roman"/>
                <w:sz w:val="16"/>
                <w:szCs w:val="16"/>
              </w:rPr>
              <w:t>Análisis de la evolución del déficit habitacional</w:t>
            </w:r>
          </w:p>
        </w:tc>
        <w:tc>
          <w:tcPr>
            <w:tcW w:w="1566"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Olga García N.</w:t>
            </w:r>
          </w:p>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Álvaro Vernazza</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63C23" w:rsidRPr="00FA5A84" w:rsidRDefault="00163C23" w:rsidP="00163C23">
            <w:pPr>
              <w:spacing w:after="0" w:line="240" w:lineRule="auto"/>
              <w:jc w:val="center"/>
              <w:rPr>
                <w:rFonts w:ascii="Times New Roman" w:eastAsia="Times New Roman" w:hAnsi="Times New Roman" w:cs="Times New Roman"/>
                <w:b/>
                <w:bCs/>
                <w:sz w:val="14"/>
                <w:szCs w:val="14"/>
                <w:lang w:eastAsia="es-CO"/>
              </w:rPr>
            </w:pPr>
            <w:r w:rsidRPr="00FA5A84">
              <w:rPr>
                <w:rFonts w:ascii="Times New Roman" w:eastAsia="Times New Roman" w:hAnsi="Times New Roman" w:cs="Times New Roman"/>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63C23" w:rsidRPr="00FA5A84" w:rsidRDefault="00163C23" w:rsidP="00163C23">
            <w:pPr>
              <w:spacing w:after="0" w:line="240" w:lineRule="auto"/>
              <w:jc w:val="center"/>
              <w:rPr>
                <w:rFonts w:ascii="Times New Roman" w:eastAsia="Times New Roman" w:hAnsi="Times New Roman" w:cs="Times New Roman"/>
                <w:b/>
                <w:bCs/>
                <w:sz w:val="14"/>
                <w:szCs w:val="14"/>
                <w:lang w:eastAsia="es-CO"/>
              </w:rPr>
            </w:pPr>
            <w:r w:rsidRPr="00FA5A84">
              <w:rPr>
                <w:rFonts w:ascii="Times New Roman" w:eastAsia="Times New Roman" w:hAnsi="Times New Roman" w:cs="Times New Roman"/>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211"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211"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212"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r>
      <w:tr w:rsidR="00163C23" w:rsidRPr="00FA5A84" w:rsidTr="00163C23">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Definición de variables y cálculo de Índice de oportunidad para áreas con potencial de densificación</w:t>
            </w:r>
          </w:p>
        </w:tc>
        <w:tc>
          <w:tcPr>
            <w:tcW w:w="1566"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xml:space="preserve">Oscar Arcos </w:t>
            </w:r>
          </w:p>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Olga García N.</w:t>
            </w:r>
          </w:p>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Álvaro Vernazza</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63C23" w:rsidRPr="00FA5A84" w:rsidRDefault="00163C23" w:rsidP="00163C23">
            <w:pPr>
              <w:spacing w:after="0" w:line="240" w:lineRule="auto"/>
              <w:jc w:val="center"/>
              <w:rPr>
                <w:rFonts w:ascii="Times New Roman" w:eastAsia="Times New Roman" w:hAnsi="Times New Roman" w:cs="Times New Roman"/>
                <w:b/>
                <w:bCs/>
                <w:sz w:val="14"/>
                <w:szCs w:val="14"/>
                <w:lang w:eastAsia="es-CO"/>
              </w:rPr>
            </w:pPr>
            <w:r w:rsidRPr="00FA5A84">
              <w:rPr>
                <w:rFonts w:ascii="Times New Roman" w:eastAsia="Times New Roman" w:hAnsi="Times New Roman" w:cs="Times New Roman"/>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63C23" w:rsidRPr="00FA5A84" w:rsidRDefault="00163C23" w:rsidP="00163C23">
            <w:pPr>
              <w:spacing w:after="0" w:line="240" w:lineRule="auto"/>
              <w:jc w:val="center"/>
              <w:rPr>
                <w:rFonts w:ascii="Times New Roman" w:eastAsia="Times New Roman" w:hAnsi="Times New Roman" w:cs="Times New Roman"/>
                <w:b/>
                <w:bCs/>
                <w:sz w:val="14"/>
                <w:szCs w:val="14"/>
                <w:lang w:eastAsia="es-CO"/>
              </w:rPr>
            </w:pPr>
            <w:r w:rsidRPr="00FA5A84">
              <w:rPr>
                <w:rFonts w:ascii="Times New Roman" w:eastAsia="Times New Roman" w:hAnsi="Times New Roman" w:cs="Times New Roman"/>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r>
      <w:tr w:rsidR="00163C23" w:rsidRPr="00FA5A84" w:rsidTr="00163C23">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Análisis normativo urbano</w:t>
            </w:r>
          </w:p>
        </w:tc>
        <w:tc>
          <w:tcPr>
            <w:tcW w:w="1566"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xml:space="preserve">Olga García N. </w:t>
            </w:r>
          </w:p>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Álvaro Vernazza</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63C23" w:rsidRPr="00FA5A84" w:rsidRDefault="00163C23" w:rsidP="00163C23">
            <w:pPr>
              <w:spacing w:after="0" w:line="240" w:lineRule="auto"/>
              <w:jc w:val="center"/>
              <w:rPr>
                <w:rFonts w:ascii="Times New Roman" w:eastAsia="Times New Roman" w:hAnsi="Times New Roman" w:cs="Times New Roman"/>
                <w:b/>
                <w:bCs/>
                <w:sz w:val="14"/>
                <w:szCs w:val="14"/>
                <w:lang w:eastAsia="es-CO"/>
              </w:rPr>
            </w:pPr>
            <w:r w:rsidRPr="00FA5A84">
              <w:rPr>
                <w:rFonts w:ascii="Times New Roman" w:eastAsia="Times New Roman" w:hAnsi="Times New Roman" w:cs="Times New Roman"/>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63C23" w:rsidRPr="00FA5A84" w:rsidRDefault="00163C23" w:rsidP="00163C23">
            <w:pPr>
              <w:spacing w:after="0" w:line="240" w:lineRule="auto"/>
              <w:jc w:val="center"/>
              <w:rPr>
                <w:rFonts w:ascii="Times New Roman" w:eastAsia="Times New Roman" w:hAnsi="Times New Roman" w:cs="Times New Roman"/>
                <w:b/>
                <w:bCs/>
                <w:sz w:val="14"/>
                <w:szCs w:val="14"/>
                <w:lang w:eastAsia="es-CO"/>
              </w:rPr>
            </w:pPr>
            <w:r w:rsidRPr="00FA5A84">
              <w:rPr>
                <w:rFonts w:ascii="Times New Roman" w:eastAsia="Times New Roman" w:hAnsi="Times New Roman" w:cs="Times New Roman"/>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186" w:type="dxa"/>
            <w:gridSpan w:val="2"/>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r>
      <w:tr w:rsidR="00163C23" w:rsidRPr="00FA5A84" w:rsidTr="00163C23">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Análisis de efectos de la estrategia de densificación en el déficit habitacional</w:t>
            </w:r>
          </w:p>
        </w:tc>
        <w:tc>
          <w:tcPr>
            <w:tcW w:w="1566"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Olga García N.</w:t>
            </w:r>
          </w:p>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Oscar Arcos</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63C23" w:rsidRPr="00FA5A84" w:rsidRDefault="00163C23" w:rsidP="00163C23">
            <w:pPr>
              <w:spacing w:after="0" w:line="240" w:lineRule="auto"/>
              <w:jc w:val="center"/>
              <w:rPr>
                <w:rFonts w:ascii="Times New Roman" w:eastAsia="Times New Roman" w:hAnsi="Times New Roman" w:cs="Times New Roman"/>
                <w:b/>
                <w:bCs/>
                <w:sz w:val="14"/>
                <w:szCs w:val="14"/>
                <w:lang w:eastAsia="es-CO"/>
              </w:rPr>
            </w:pPr>
            <w:r w:rsidRPr="00FA5A84">
              <w:rPr>
                <w:rFonts w:ascii="Times New Roman" w:eastAsia="Times New Roman" w:hAnsi="Times New Roman" w:cs="Times New Roman"/>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63C23" w:rsidRPr="00FA5A84" w:rsidRDefault="00163C23" w:rsidP="00163C23">
            <w:pPr>
              <w:spacing w:after="0" w:line="240" w:lineRule="auto"/>
              <w:jc w:val="center"/>
              <w:rPr>
                <w:rFonts w:ascii="Times New Roman" w:eastAsia="Times New Roman" w:hAnsi="Times New Roman" w:cs="Times New Roman"/>
                <w:b/>
                <w:bCs/>
                <w:sz w:val="14"/>
                <w:szCs w:val="14"/>
                <w:lang w:eastAsia="es-CO"/>
              </w:rPr>
            </w:pPr>
            <w:r w:rsidRPr="00FA5A84">
              <w:rPr>
                <w:rFonts w:ascii="Times New Roman" w:eastAsia="Times New Roman" w:hAnsi="Times New Roman" w:cs="Times New Roman"/>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p>
        </w:tc>
        <w:tc>
          <w:tcPr>
            <w:tcW w:w="249" w:type="dxa"/>
            <w:gridSpan w:val="2"/>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r>
      <w:tr w:rsidR="00163C23" w:rsidRPr="00FA5A84" w:rsidTr="00163C23">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Elaboración del documento final</w:t>
            </w:r>
          </w:p>
        </w:tc>
        <w:tc>
          <w:tcPr>
            <w:tcW w:w="1566"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Olga García N.</w:t>
            </w:r>
          </w:p>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Oscar Arcos</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63C23" w:rsidRPr="00FA5A84" w:rsidRDefault="00163C23" w:rsidP="00163C23">
            <w:pPr>
              <w:spacing w:after="0" w:line="240" w:lineRule="auto"/>
              <w:jc w:val="center"/>
              <w:rPr>
                <w:rFonts w:ascii="Times New Roman" w:eastAsia="Times New Roman" w:hAnsi="Times New Roman" w:cs="Times New Roman"/>
                <w:b/>
                <w:bCs/>
                <w:sz w:val="14"/>
                <w:szCs w:val="14"/>
                <w:lang w:eastAsia="es-CO"/>
              </w:rPr>
            </w:pPr>
            <w:r w:rsidRPr="00FA5A84">
              <w:rPr>
                <w:rFonts w:ascii="Times New Roman" w:eastAsia="Times New Roman" w:hAnsi="Times New Roman" w:cs="Times New Roman"/>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63C23" w:rsidRPr="00FA5A84" w:rsidRDefault="00163C23" w:rsidP="00163C23">
            <w:pPr>
              <w:spacing w:after="0" w:line="240" w:lineRule="auto"/>
              <w:jc w:val="center"/>
              <w:rPr>
                <w:rFonts w:ascii="Times New Roman" w:eastAsia="Times New Roman" w:hAnsi="Times New Roman" w:cs="Times New Roman"/>
                <w:b/>
                <w:bCs/>
                <w:sz w:val="14"/>
                <w:szCs w:val="14"/>
                <w:lang w:eastAsia="es-CO"/>
              </w:rPr>
            </w:pPr>
            <w:r w:rsidRPr="00FA5A84">
              <w:rPr>
                <w:rFonts w:ascii="Times New Roman" w:eastAsia="Times New Roman" w:hAnsi="Times New Roman" w:cs="Times New Roman"/>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r>
      <w:tr w:rsidR="00163C23" w:rsidRPr="00FA5A84" w:rsidTr="00163C23">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63C23" w:rsidRPr="00FA5A84" w:rsidRDefault="00163C23" w:rsidP="00163C23">
            <w:pPr>
              <w:jc w:val="both"/>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Socialización de resultados de la investigación</w:t>
            </w:r>
          </w:p>
        </w:tc>
        <w:tc>
          <w:tcPr>
            <w:tcW w:w="1566"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xml:space="preserve">Oscar Arcos </w:t>
            </w:r>
          </w:p>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Olga García N.</w:t>
            </w:r>
          </w:p>
          <w:p w:rsidR="00163C23" w:rsidRPr="00FA5A84" w:rsidRDefault="00163C23" w:rsidP="00163C23">
            <w:pPr>
              <w:spacing w:after="0" w:line="240" w:lineRule="auto"/>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Álvaro Vernazza</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63C23" w:rsidRPr="00FA5A84" w:rsidRDefault="00163C23" w:rsidP="00163C23">
            <w:pPr>
              <w:spacing w:after="0" w:line="240" w:lineRule="auto"/>
              <w:jc w:val="center"/>
              <w:rPr>
                <w:rFonts w:ascii="Times New Roman" w:eastAsia="Times New Roman" w:hAnsi="Times New Roman" w:cs="Times New Roman"/>
                <w:b/>
                <w:bCs/>
                <w:sz w:val="14"/>
                <w:szCs w:val="14"/>
                <w:lang w:eastAsia="es-CO"/>
              </w:rPr>
            </w:pPr>
            <w:r w:rsidRPr="00FA5A84">
              <w:rPr>
                <w:rFonts w:ascii="Times New Roman" w:eastAsia="Times New Roman" w:hAnsi="Times New Roman" w:cs="Times New Roman"/>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63C23" w:rsidRPr="00FA5A84" w:rsidRDefault="00163C23" w:rsidP="00163C23">
            <w:pPr>
              <w:spacing w:after="0" w:line="240" w:lineRule="auto"/>
              <w:jc w:val="center"/>
              <w:rPr>
                <w:rFonts w:ascii="Times New Roman" w:eastAsia="Times New Roman" w:hAnsi="Times New Roman" w:cs="Times New Roman"/>
                <w:b/>
                <w:bCs/>
                <w:sz w:val="14"/>
                <w:szCs w:val="14"/>
                <w:lang w:eastAsia="es-CO"/>
              </w:rPr>
            </w:pPr>
            <w:r w:rsidRPr="00FA5A84">
              <w:rPr>
                <w:rFonts w:ascii="Times New Roman" w:eastAsia="Times New Roman" w:hAnsi="Times New Roman" w:cs="Times New Roman"/>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186" w:type="dxa"/>
            <w:gridSpan w:val="2"/>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186"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r w:rsidR="00C56F5E" w:rsidRPr="00FA5A84">
              <w:rPr>
                <w:rFonts w:ascii="Times New Roman" w:eastAsia="Times New Roman" w:hAnsi="Times New Roman" w:cs="Times New Roman"/>
                <w:sz w:val="16"/>
                <w:szCs w:val="16"/>
                <w:lang w:eastAsia="es-CO"/>
              </w:rPr>
              <w:t>X</w:t>
            </w:r>
          </w:p>
        </w:tc>
        <w:tc>
          <w:tcPr>
            <w:tcW w:w="249" w:type="dxa"/>
            <w:tcBorders>
              <w:top w:val="nil"/>
              <w:left w:val="nil"/>
              <w:bottom w:val="single" w:sz="4" w:space="0" w:color="auto"/>
              <w:right w:val="single" w:sz="4" w:space="0" w:color="auto"/>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63C23" w:rsidRPr="00FA5A84" w:rsidRDefault="00C56F5E"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X</w:t>
            </w:r>
            <w:r w:rsidR="00163C23"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63C23" w:rsidRPr="00FA5A84" w:rsidRDefault="00163C23" w:rsidP="00163C23">
            <w:pPr>
              <w:spacing w:after="0" w:line="240" w:lineRule="auto"/>
              <w:jc w:val="center"/>
              <w:rPr>
                <w:rFonts w:ascii="Times New Roman" w:eastAsia="Times New Roman" w:hAnsi="Times New Roman" w:cs="Times New Roman"/>
                <w:sz w:val="16"/>
                <w:szCs w:val="16"/>
                <w:lang w:eastAsia="es-CO"/>
              </w:rPr>
            </w:pPr>
            <w:r w:rsidRPr="00FA5A84">
              <w:rPr>
                <w:rFonts w:ascii="Times New Roman" w:eastAsia="Times New Roman" w:hAnsi="Times New Roman" w:cs="Times New Roman"/>
                <w:sz w:val="16"/>
                <w:szCs w:val="16"/>
                <w:lang w:eastAsia="es-CO"/>
              </w:rPr>
              <w:t> </w:t>
            </w:r>
          </w:p>
        </w:tc>
      </w:tr>
    </w:tbl>
    <w:tbl>
      <w:tblPr>
        <w:tblpPr w:leftFromText="141" w:rightFromText="141" w:vertAnchor="page" w:horzAnchor="margin" w:tblpY="1492"/>
        <w:tblW w:w="14730" w:type="dxa"/>
        <w:shd w:val="clear" w:color="auto" w:fill="FFFFFF"/>
        <w:tblLook w:val="04A0"/>
      </w:tblPr>
      <w:tblGrid>
        <w:gridCol w:w="2454"/>
        <w:gridCol w:w="2454"/>
        <w:gridCol w:w="2454"/>
        <w:gridCol w:w="2454"/>
        <w:gridCol w:w="2454"/>
        <w:gridCol w:w="2460"/>
      </w:tblGrid>
      <w:tr w:rsidR="00FF231C" w:rsidRPr="00FA5A84" w:rsidTr="00FF231C">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FF231C" w:rsidRPr="00FA5A8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FA5A8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Presupuesto</w:t>
            </w:r>
          </w:p>
        </w:tc>
      </w:tr>
      <w:tr w:rsidR="00FF231C" w:rsidRPr="00FA5A84" w:rsidTr="00FF231C">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FF231C" w:rsidRPr="00FA5A8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F231C" w:rsidRPr="00FA5A8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Horas nómina</w:t>
            </w:r>
          </w:p>
        </w:tc>
      </w:tr>
      <w:tr w:rsidR="00FF231C" w:rsidRPr="00FA5A84" w:rsidTr="00FF231C">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FA5A8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FA5A8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FA5A8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FA5A8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FF231C" w:rsidRPr="00FA5A8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FA5A8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Total ($)</w:t>
            </w:r>
          </w:p>
        </w:tc>
      </w:tr>
      <w:tr w:rsidR="00163C23" w:rsidRPr="00FA5A84" w:rsidTr="00FF231C">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163C23" w:rsidRPr="00FA5A84" w:rsidRDefault="00163C23" w:rsidP="00FF231C">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3C23" w:rsidRPr="00FA5A84" w:rsidRDefault="00163C23" w:rsidP="00163C23">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hAnsi="Times New Roman" w:cs="Times New Roman"/>
                <w:sz w:val="24"/>
                <w:szCs w:val="24"/>
              </w:rPr>
              <w:t>Oscar Arcos Palma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3C23" w:rsidRPr="00FA5A84" w:rsidRDefault="00163C23" w:rsidP="00FF231C">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3C23" w:rsidRPr="00FA5A84" w:rsidRDefault="00163C23" w:rsidP="00FF231C">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163C23" w:rsidRPr="00FA5A84" w:rsidRDefault="00163C23" w:rsidP="00FF231C">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3C23" w:rsidRPr="00FA5A84" w:rsidRDefault="00163C23" w:rsidP="00163C23">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$1.705.250</w:t>
            </w:r>
          </w:p>
        </w:tc>
      </w:tr>
      <w:tr w:rsidR="00163C23" w:rsidRPr="00FA5A84" w:rsidTr="00FF231C">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163C23" w:rsidRPr="00FA5A84" w:rsidRDefault="00163C23" w:rsidP="00FF231C">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3C23" w:rsidRPr="00FA5A84" w:rsidRDefault="00163C23" w:rsidP="00163C23">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Olga Marina García Norato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3C23" w:rsidRPr="00FA5A84" w:rsidRDefault="00163C23" w:rsidP="00FF231C">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3C23" w:rsidRPr="00FA5A84" w:rsidRDefault="00163C23" w:rsidP="00FF231C">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163C23" w:rsidRPr="00FA5A84" w:rsidRDefault="00163C23" w:rsidP="00FF231C">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3C23" w:rsidRPr="00FA5A84" w:rsidRDefault="00163C23" w:rsidP="00163C23">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$1.705.250</w:t>
            </w:r>
          </w:p>
        </w:tc>
      </w:tr>
      <w:tr w:rsidR="00163C23" w:rsidRPr="00FA5A84" w:rsidTr="00FF231C">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163C23" w:rsidRPr="00FA5A84" w:rsidRDefault="00163C23" w:rsidP="00FF231C">
            <w:pPr>
              <w:spacing w:after="0"/>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3C23" w:rsidRPr="00FA5A84" w:rsidRDefault="00163C23" w:rsidP="00163C23">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Álvaro Andrés Vernazza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3C23" w:rsidRPr="00FA5A84" w:rsidRDefault="00163C23" w:rsidP="00FF231C">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3C23" w:rsidRPr="00FA5A84" w:rsidRDefault="00163C23" w:rsidP="00FF231C">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30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163C23" w:rsidRPr="00FA5A84" w:rsidRDefault="00163C23" w:rsidP="00FF231C">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3C23" w:rsidRPr="00FA5A84" w:rsidRDefault="00163C23" w:rsidP="00163C23">
            <w:pPr>
              <w:spacing w:after="0" w:line="240" w:lineRule="auto"/>
              <w:jc w:val="center"/>
              <w:rPr>
                <w:rFonts w:ascii="Times New Roman" w:eastAsia="Times New Roman" w:hAnsi="Times New Roman" w:cs="Times New Roman"/>
                <w:color w:val="222222"/>
                <w:sz w:val="24"/>
                <w:szCs w:val="24"/>
                <w:lang w:eastAsia="es-CO"/>
              </w:rPr>
            </w:pPr>
            <w:r w:rsidRPr="00FA5A84">
              <w:rPr>
                <w:rFonts w:ascii="Times New Roman" w:eastAsia="Times New Roman" w:hAnsi="Times New Roman" w:cs="Times New Roman"/>
                <w:color w:val="222222"/>
                <w:sz w:val="24"/>
                <w:szCs w:val="24"/>
                <w:lang w:eastAsia="es-CO"/>
              </w:rPr>
              <w:t>$   750.000</w:t>
            </w:r>
          </w:p>
        </w:tc>
      </w:tr>
      <w:tr w:rsidR="00163C23" w:rsidRPr="00FA5A84" w:rsidTr="00FF231C">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163C23" w:rsidRPr="00FA5A84" w:rsidRDefault="00163C23" w:rsidP="00FF231C">
            <w:pPr>
              <w:spacing w:after="0"/>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3C23" w:rsidRPr="00FA5A84" w:rsidRDefault="00163C23" w:rsidP="00FF231C">
            <w:pPr>
              <w:spacing w:after="0" w:line="240" w:lineRule="auto"/>
              <w:jc w:val="center"/>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3C23" w:rsidRPr="00FA5A84" w:rsidRDefault="00163C23" w:rsidP="00FF231C">
            <w:pPr>
              <w:spacing w:after="0" w:line="240" w:lineRule="auto"/>
              <w:jc w:val="center"/>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3C23" w:rsidRPr="00FA5A84" w:rsidRDefault="00163C23" w:rsidP="00FF231C">
            <w:pPr>
              <w:spacing w:after="0" w:line="240" w:lineRule="auto"/>
              <w:jc w:val="center"/>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163C23" w:rsidRPr="00FA5A84" w:rsidRDefault="00163C23" w:rsidP="00FF231C">
            <w:pPr>
              <w:spacing w:after="0" w:line="240" w:lineRule="auto"/>
              <w:jc w:val="center"/>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3C23" w:rsidRPr="00FA5A84" w:rsidRDefault="00163C23" w:rsidP="00FF231C">
            <w:pPr>
              <w:spacing w:after="0" w:line="240" w:lineRule="auto"/>
              <w:jc w:val="center"/>
              <w:rPr>
                <w:rFonts w:ascii="Times New Roman" w:eastAsia="Times New Roman" w:hAnsi="Times New Roman" w:cs="Times New Roman"/>
                <w:color w:val="222222"/>
                <w:sz w:val="24"/>
                <w:szCs w:val="24"/>
                <w:lang w:eastAsia="es-CO"/>
              </w:rPr>
            </w:pPr>
          </w:p>
        </w:tc>
      </w:tr>
    </w:tbl>
    <w:p w:rsidR="00B66D74" w:rsidRPr="00FA5A84" w:rsidRDefault="00B66D74"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tblPr>
      <w:tblGrid>
        <w:gridCol w:w="1124"/>
        <w:gridCol w:w="2106"/>
        <w:gridCol w:w="5950"/>
        <w:gridCol w:w="1560"/>
        <w:gridCol w:w="1984"/>
        <w:gridCol w:w="2024"/>
      </w:tblGrid>
      <w:tr w:rsidR="00FF231C" w:rsidRPr="00FA5A84" w:rsidTr="00163C23">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Pr="00FA5A84" w:rsidRDefault="00FF231C" w:rsidP="00ED1717">
            <w:pPr>
              <w:ind w:left="-108" w:right="-108"/>
              <w:jc w:val="center"/>
              <w:rPr>
                <w:rFonts w:ascii="Times New Roman" w:hAnsi="Times New Roman" w:cs="Times New Roman"/>
                <w:b/>
                <w:sz w:val="20"/>
                <w:szCs w:val="16"/>
              </w:rPr>
            </w:pPr>
            <w:r w:rsidRPr="00FA5A84">
              <w:rPr>
                <w:rFonts w:ascii="Times New Roman" w:hAnsi="Times New Roman" w:cs="Times New Roman"/>
                <w:b/>
                <w:sz w:val="16"/>
                <w:szCs w:val="16"/>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Pr="00FA5A84" w:rsidRDefault="00FF231C" w:rsidP="00ED1717">
            <w:pPr>
              <w:jc w:val="center"/>
              <w:rPr>
                <w:rFonts w:ascii="Times New Roman" w:hAnsi="Times New Roman" w:cs="Times New Roman"/>
                <w:b/>
                <w:sz w:val="20"/>
                <w:szCs w:val="16"/>
              </w:rPr>
            </w:pPr>
            <w:r w:rsidRPr="00FA5A84">
              <w:rPr>
                <w:rFonts w:ascii="Times New Roman" w:hAnsi="Times New Roman" w:cs="Times New Roman"/>
                <w:b/>
                <w:sz w:val="20"/>
                <w:szCs w:val="16"/>
              </w:rPr>
              <w:t>RECURSO</w:t>
            </w:r>
          </w:p>
        </w:tc>
        <w:tc>
          <w:tcPr>
            <w:tcW w:w="595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Pr="00FA5A84" w:rsidRDefault="00FF231C" w:rsidP="00ED1717">
            <w:pPr>
              <w:jc w:val="center"/>
              <w:rPr>
                <w:rFonts w:ascii="Times New Roman" w:hAnsi="Times New Roman" w:cs="Times New Roman"/>
                <w:b/>
                <w:sz w:val="20"/>
                <w:szCs w:val="16"/>
              </w:rPr>
            </w:pPr>
            <w:r w:rsidRPr="00FA5A84">
              <w:rPr>
                <w:rFonts w:ascii="Times New Roman" w:hAnsi="Times New Roman" w:cs="Times New Roman"/>
                <w:b/>
                <w:sz w:val="20"/>
                <w:szCs w:val="16"/>
              </w:rPr>
              <w:t>DESCRIPCIÓN</w:t>
            </w:r>
          </w:p>
        </w:tc>
        <w:tc>
          <w:tcPr>
            <w:tcW w:w="15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Pr="00FA5A84" w:rsidRDefault="00FF231C" w:rsidP="00ED1717">
            <w:pPr>
              <w:spacing w:before="100" w:beforeAutospacing="1" w:after="100" w:afterAutospacing="1"/>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Valor partida</w:t>
            </w:r>
          </w:p>
        </w:tc>
        <w:tc>
          <w:tcPr>
            <w:tcW w:w="198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Pr="00FA5A84" w:rsidRDefault="00FF231C" w:rsidP="00ED1717">
            <w:pPr>
              <w:spacing w:before="100" w:beforeAutospacing="1" w:after="100" w:afterAutospacing="1"/>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Valor contrapartida (Externa)</w:t>
            </w:r>
          </w:p>
        </w:tc>
        <w:tc>
          <w:tcPr>
            <w:tcW w:w="20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Pr="00FA5A84" w:rsidRDefault="00FF231C" w:rsidP="00ED1717">
            <w:pPr>
              <w:spacing w:before="100" w:beforeAutospacing="1" w:after="100" w:afterAutospacing="1"/>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Total ($)</w:t>
            </w:r>
          </w:p>
        </w:tc>
      </w:tr>
      <w:tr w:rsidR="00FF231C" w:rsidRPr="00FA5A84" w:rsidTr="00163C23">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center"/>
              <w:rPr>
                <w:rFonts w:ascii="Times New Roman" w:hAnsi="Times New Roman" w:cs="Times New Roman"/>
                <w:b/>
                <w:sz w:val="20"/>
                <w:szCs w:val="16"/>
              </w:rPr>
            </w:pPr>
            <w:r w:rsidRPr="00FA5A84">
              <w:rPr>
                <w:rFonts w:ascii="Times New Roman" w:hAnsi="Times New Roman" w:cs="Times New Roman"/>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both"/>
              <w:rPr>
                <w:rFonts w:ascii="Times New Roman" w:hAnsi="Times New Roman" w:cs="Times New Roman"/>
                <w:b/>
                <w:sz w:val="20"/>
                <w:szCs w:val="20"/>
              </w:rPr>
            </w:pPr>
            <w:r w:rsidRPr="00FA5A84">
              <w:rPr>
                <w:rFonts w:ascii="Times New Roman" w:hAnsi="Times New Roman" w:cs="Times New Roman"/>
                <w:b/>
                <w:sz w:val="20"/>
                <w:szCs w:val="20"/>
              </w:rPr>
              <w:t>Servicios Técnicos</w:t>
            </w:r>
          </w:p>
        </w:tc>
        <w:tc>
          <w:tcPr>
            <w:tcW w:w="5950" w:type="dxa"/>
            <w:tcBorders>
              <w:top w:val="single" w:sz="4" w:space="0" w:color="auto"/>
              <w:left w:val="single" w:sz="4" w:space="0" w:color="auto"/>
              <w:bottom w:val="single" w:sz="4" w:space="0" w:color="auto"/>
              <w:right w:val="single" w:sz="4" w:space="0" w:color="auto"/>
            </w:tcBorders>
            <w:vAlign w:val="center"/>
          </w:tcPr>
          <w:p w:rsidR="00FF231C" w:rsidRPr="00FA5A84" w:rsidRDefault="00163C23" w:rsidP="00ED1717">
            <w:pPr>
              <w:jc w:val="both"/>
              <w:rPr>
                <w:rFonts w:ascii="Times New Roman" w:hAnsi="Times New Roman" w:cs="Times New Roman"/>
                <w:sz w:val="20"/>
                <w:szCs w:val="20"/>
              </w:rPr>
            </w:pPr>
            <w:r w:rsidRPr="00FA5A84">
              <w:rPr>
                <w:rFonts w:ascii="Times New Roman" w:hAnsi="Times New Roman" w:cs="Times New Roman"/>
                <w:sz w:val="20"/>
                <w:szCs w:val="20"/>
              </w:rPr>
              <w:t>Elaboración de planos cartográficos y análisis espacial de áreas con potencial económico</w:t>
            </w:r>
          </w:p>
        </w:tc>
        <w:tc>
          <w:tcPr>
            <w:tcW w:w="1560"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16"/>
              </w:rPr>
            </w:pPr>
          </w:p>
        </w:tc>
        <w:tc>
          <w:tcPr>
            <w:tcW w:w="1984"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16"/>
              </w:rPr>
            </w:pPr>
          </w:p>
        </w:tc>
        <w:tc>
          <w:tcPr>
            <w:tcW w:w="2024" w:type="dxa"/>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both"/>
              <w:rPr>
                <w:rFonts w:ascii="Times New Roman" w:hAnsi="Times New Roman" w:cs="Times New Roman"/>
                <w:sz w:val="24"/>
                <w:szCs w:val="24"/>
              </w:rPr>
            </w:pPr>
            <w:r w:rsidRPr="00FA5A84">
              <w:rPr>
                <w:rFonts w:ascii="Times New Roman" w:hAnsi="Times New Roman" w:cs="Times New Roman"/>
                <w:sz w:val="24"/>
                <w:szCs w:val="24"/>
              </w:rPr>
              <w:t xml:space="preserve">$ </w:t>
            </w:r>
            <w:r w:rsidR="00163C23" w:rsidRPr="00FA5A84">
              <w:rPr>
                <w:rFonts w:ascii="Times New Roman" w:hAnsi="Times New Roman" w:cs="Times New Roman"/>
                <w:sz w:val="24"/>
                <w:szCs w:val="24"/>
              </w:rPr>
              <w:t>1</w:t>
            </w:r>
            <w:r w:rsidRPr="00FA5A84">
              <w:rPr>
                <w:rFonts w:ascii="Times New Roman" w:hAnsi="Times New Roman" w:cs="Times New Roman"/>
                <w:sz w:val="24"/>
                <w:szCs w:val="24"/>
              </w:rPr>
              <w:t>0</w:t>
            </w:r>
            <w:r w:rsidR="00163C23" w:rsidRPr="00FA5A84">
              <w:rPr>
                <w:rFonts w:ascii="Times New Roman" w:hAnsi="Times New Roman" w:cs="Times New Roman"/>
                <w:sz w:val="24"/>
                <w:szCs w:val="24"/>
              </w:rPr>
              <w:t>.000.000</w:t>
            </w:r>
          </w:p>
        </w:tc>
      </w:tr>
      <w:tr w:rsidR="00FF231C" w:rsidRPr="00FA5A84" w:rsidTr="00163C23">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rPr>
                <w:rFonts w:ascii="Times New Roman" w:hAnsi="Times New Roman" w:cs="Times New Roman"/>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both"/>
              <w:rPr>
                <w:rFonts w:ascii="Times New Roman" w:hAnsi="Times New Roman" w:cs="Times New Roman"/>
                <w:b/>
                <w:sz w:val="20"/>
                <w:szCs w:val="20"/>
              </w:rPr>
            </w:pPr>
            <w:r w:rsidRPr="00FA5A84">
              <w:rPr>
                <w:rFonts w:ascii="Times New Roman" w:hAnsi="Times New Roman" w:cs="Times New Roman"/>
                <w:b/>
                <w:sz w:val="20"/>
                <w:szCs w:val="20"/>
              </w:rPr>
              <w:t>Salidas de campo</w:t>
            </w:r>
          </w:p>
        </w:tc>
        <w:tc>
          <w:tcPr>
            <w:tcW w:w="5950" w:type="dxa"/>
            <w:tcBorders>
              <w:top w:val="single" w:sz="4" w:space="0" w:color="auto"/>
              <w:left w:val="single" w:sz="4" w:space="0" w:color="auto"/>
              <w:bottom w:val="single" w:sz="4" w:space="0" w:color="auto"/>
              <w:right w:val="single" w:sz="4" w:space="0" w:color="auto"/>
            </w:tcBorders>
            <w:vAlign w:val="center"/>
          </w:tcPr>
          <w:p w:rsidR="00FF231C" w:rsidRPr="00FA5A84" w:rsidRDefault="00FF231C" w:rsidP="00ED1717">
            <w:pPr>
              <w:jc w:val="both"/>
              <w:rPr>
                <w:rFonts w:ascii="Times New Roman" w:hAnsi="Times New Roman"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16"/>
              </w:rPr>
            </w:pPr>
          </w:p>
        </w:tc>
        <w:tc>
          <w:tcPr>
            <w:tcW w:w="1984"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16"/>
              </w:rPr>
            </w:pPr>
          </w:p>
        </w:tc>
        <w:tc>
          <w:tcPr>
            <w:tcW w:w="2024" w:type="dxa"/>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both"/>
              <w:rPr>
                <w:rFonts w:ascii="Times New Roman" w:hAnsi="Times New Roman" w:cs="Times New Roman"/>
                <w:sz w:val="20"/>
                <w:szCs w:val="16"/>
              </w:rPr>
            </w:pPr>
            <w:r w:rsidRPr="00FA5A84">
              <w:rPr>
                <w:rFonts w:ascii="Times New Roman" w:hAnsi="Times New Roman" w:cs="Times New Roman"/>
                <w:sz w:val="20"/>
                <w:szCs w:val="16"/>
              </w:rPr>
              <w:t>$ 0</w:t>
            </w:r>
          </w:p>
        </w:tc>
      </w:tr>
      <w:tr w:rsidR="00FF231C" w:rsidRPr="00FA5A84" w:rsidTr="00163C23">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rPr>
                <w:rFonts w:ascii="Times New Roman" w:hAnsi="Times New Roman" w:cs="Times New Roman"/>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both"/>
              <w:rPr>
                <w:rFonts w:ascii="Times New Roman" w:hAnsi="Times New Roman" w:cs="Times New Roman"/>
                <w:b/>
                <w:sz w:val="20"/>
                <w:szCs w:val="20"/>
              </w:rPr>
            </w:pPr>
            <w:r w:rsidRPr="00FA5A84">
              <w:rPr>
                <w:rFonts w:ascii="Times New Roman" w:hAnsi="Times New Roman" w:cs="Times New Roman"/>
                <w:b/>
                <w:sz w:val="20"/>
                <w:szCs w:val="20"/>
              </w:rPr>
              <w:t>Equipos</w:t>
            </w:r>
          </w:p>
        </w:tc>
        <w:tc>
          <w:tcPr>
            <w:tcW w:w="5950" w:type="dxa"/>
            <w:tcBorders>
              <w:top w:val="single" w:sz="4" w:space="0" w:color="auto"/>
              <w:left w:val="single" w:sz="4" w:space="0" w:color="auto"/>
              <w:bottom w:val="single" w:sz="4" w:space="0" w:color="auto"/>
              <w:right w:val="single" w:sz="4" w:space="0" w:color="auto"/>
            </w:tcBorders>
            <w:vAlign w:val="center"/>
          </w:tcPr>
          <w:p w:rsidR="00FF231C" w:rsidRPr="00FA5A84" w:rsidRDefault="00FF231C" w:rsidP="00ED1717">
            <w:pPr>
              <w:jc w:val="both"/>
              <w:rPr>
                <w:rFonts w:ascii="Times New Roman" w:hAnsi="Times New Roman"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16"/>
              </w:rPr>
            </w:pPr>
          </w:p>
        </w:tc>
        <w:tc>
          <w:tcPr>
            <w:tcW w:w="1984"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16"/>
              </w:rPr>
            </w:pPr>
          </w:p>
        </w:tc>
        <w:tc>
          <w:tcPr>
            <w:tcW w:w="2024" w:type="dxa"/>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both"/>
              <w:rPr>
                <w:rFonts w:ascii="Times New Roman" w:hAnsi="Times New Roman" w:cs="Times New Roman"/>
                <w:sz w:val="20"/>
                <w:szCs w:val="16"/>
              </w:rPr>
            </w:pPr>
            <w:r w:rsidRPr="00FA5A84">
              <w:rPr>
                <w:rFonts w:ascii="Times New Roman" w:hAnsi="Times New Roman" w:cs="Times New Roman"/>
                <w:sz w:val="20"/>
                <w:szCs w:val="16"/>
              </w:rPr>
              <w:t>$ 0</w:t>
            </w:r>
          </w:p>
        </w:tc>
      </w:tr>
      <w:tr w:rsidR="00FF231C" w:rsidRPr="00FA5A84" w:rsidTr="00163C23">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rPr>
                <w:rFonts w:ascii="Times New Roman" w:hAnsi="Times New Roman" w:cs="Times New Roman"/>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both"/>
              <w:rPr>
                <w:rFonts w:ascii="Times New Roman" w:hAnsi="Times New Roman" w:cs="Times New Roman"/>
                <w:b/>
                <w:sz w:val="20"/>
                <w:szCs w:val="20"/>
              </w:rPr>
            </w:pPr>
            <w:r w:rsidRPr="00FA5A84">
              <w:rPr>
                <w:rFonts w:ascii="Times New Roman" w:hAnsi="Times New Roman" w:cs="Times New Roman"/>
                <w:b/>
                <w:sz w:val="20"/>
                <w:szCs w:val="20"/>
              </w:rPr>
              <w:t>Materiales, insumos y software</w:t>
            </w:r>
          </w:p>
        </w:tc>
        <w:tc>
          <w:tcPr>
            <w:tcW w:w="5950" w:type="dxa"/>
            <w:tcBorders>
              <w:top w:val="single" w:sz="4" w:space="0" w:color="auto"/>
              <w:left w:val="single" w:sz="4" w:space="0" w:color="auto"/>
              <w:bottom w:val="single" w:sz="4" w:space="0" w:color="auto"/>
              <w:right w:val="single" w:sz="4" w:space="0" w:color="auto"/>
            </w:tcBorders>
            <w:vAlign w:val="center"/>
          </w:tcPr>
          <w:p w:rsidR="00FF231C" w:rsidRPr="00FA5A84" w:rsidRDefault="00FF231C" w:rsidP="00ED1717">
            <w:pPr>
              <w:rPr>
                <w:rFonts w:ascii="Times New Roman" w:hAnsi="Times New Roman"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16"/>
              </w:rPr>
            </w:pPr>
          </w:p>
        </w:tc>
        <w:tc>
          <w:tcPr>
            <w:tcW w:w="1984"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16"/>
              </w:rPr>
            </w:pPr>
          </w:p>
        </w:tc>
        <w:tc>
          <w:tcPr>
            <w:tcW w:w="2024" w:type="dxa"/>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both"/>
              <w:rPr>
                <w:rFonts w:ascii="Times New Roman" w:hAnsi="Times New Roman" w:cs="Times New Roman"/>
                <w:sz w:val="20"/>
                <w:szCs w:val="16"/>
              </w:rPr>
            </w:pPr>
            <w:r w:rsidRPr="00FA5A84">
              <w:rPr>
                <w:rFonts w:ascii="Times New Roman" w:hAnsi="Times New Roman" w:cs="Times New Roman"/>
                <w:sz w:val="20"/>
                <w:szCs w:val="16"/>
              </w:rPr>
              <w:t>$ 0</w:t>
            </w:r>
          </w:p>
        </w:tc>
      </w:tr>
      <w:tr w:rsidR="00FF231C" w:rsidRPr="00FA5A84" w:rsidTr="00163C23">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center"/>
              <w:rPr>
                <w:rFonts w:ascii="Times New Roman" w:hAnsi="Times New Roman" w:cs="Times New Roman"/>
                <w:b/>
                <w:sz w:val="20"/>
                <w:szCs w:val="16"/>
              </w:rPr>
            </w:pPr>
            <w:r w:rsidRPr="00FA5A84">
              <w:rPr>
                <w:rFonts w:ascii="Times New Roman" w:hAnsi="Times New Roman" w:cs="Times New Roman"/>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both"/>
              <w:rPr>
                <w:rFonts w:ascii="Times New Roman" w:hAnsi="Times New Roman" w:cs="Times New Roman"/>
                <w:b/>
                <w:sz w:val="20"/>
                <w:szCs w:val="16"/>
              </w:rPr>
            </w:pPr>
            <w:r w:rsidRPr="00FA5A84">
              <w:rPr>
                <w:rFonts w:ascii="Times New Roman" w:hAnsi="Times New Roman" w:cs="Times New Roman"/>
                <w:b/>
                <w:sz w:val="20"/>
                <w:szCs w:val="20"/>
              </w:rPr>
              <w:t>Papelería</w:t>
            </w:r>
          </w:p>
        </w:tc>
        <w:tc>
          <w:tcPr>
            <w:tcW w:w="5950" w:type="dxa"/>
            <w:tcBorders>
              <w:top w:val="single" w:sz="4" w:space="0" w:color="auto"/>
              <w:left w:val="single" w:sz="4" w:space="0" w:color="auto"/>
              <w:bottom w:val="single" w:sz="4" w:space="0" w:color="auto"/>
              <w:right w:val="single" w:sz="4" w:space="0" w:color="auto"/>
            </w:tcBorders>
            <w:vAlign w:val="center"/>
          </w:tcPr>
          <w:p w:rsidR="00FF231C" w:rsidRPr="00FA5A84" w:rsidRDefault="00FF231C" w:rsidP="00ED1717">
            <w:pPr>
              <w:rPr>
                <w:rFonts w:ascii="Times New Roman" w:hAnsi="Times New Roman"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20"/>
              </w:rPr>
            </w:pPr>
          </w:p>
        </w:tc>
        <w:tc>
          <w:tcPr>
            <w:tcW w:w="1984"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20"/>
              </w:rPr>
            </w:pPr>
          </w:p>
        </w:tc>
        <w:tc>
          <w:tcPr>
            <w:tcW w:w="2024" w:type="dxa"/>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both"/>
              <w:rPr>
                <w:rFonts w:ascii="Times New Roman" w:hAnsi="Times New Roman" w:cs="Times New Roman"/>
                <w:sz w:val="20"/>
                <w:szCs w:val="16"/>
              </w:rPr>
            </w:pPr>
            <w:r w:rsidRPr="00FA5A84">
              <w:rPr>
                <w:rFonts w:ascii="Times New Roman" w:hAnsi="Times New Roman" w:cs="Times New Roman"/>
                <w:sz w:val="20"/>
                <w:szCs w:val="20"/>
              </w:rPr>
              <w:t>$  0</w:t>
            </w:r>
          </w:p>
        </w:tc>
      </w:tr>
      <w:tr w:rsidR="00FF231C" w:rsidRPr="00FA5A84" w:rsidTr="00163C23">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Pr="00FA5A84" w:rsidRDefault="00FF231C" w:rsidP="00ED1717">
            <w:pPr>
              <w:jc w:val="center"/>
              <w:rPr>
                <w:rFonts w:ascii="Times New Roman" w:hAnsi="Times New Roman" w:cs="Times New Roman"/>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Pr="00FA5A84" w:rsidRDefault="00FF231C" w:rsidP="00ED1717">
            <w:pPr>
              <w:jc w:val="both"/>
              <w:rPr>
                <w:rFonts w:ascii="Times New Roman" w:hAnsi="Times New Roman" w:cs="Times New Roman"/>
                <w:b/>
                <w:sz w:val="20"/>
                <w:szCs w:val="20"/>
              </w:rPr>
            </w:pPr>
            <w:r w:rsidRPr="00FA5A84">
              <w:rPr>
                <w:rFonts w:ascii="Times New Roman" w:hAnsi="Times New Roman" w:cs="Times New Roman"/>
                <w:b/>
                <w:sz w:val="20"/>
                <w:szCs w:val="20"/>
              </w:rPr>
              <w:t>Fotocopias</w:t>
            </w:r>
          </w:p>
        </w:tc>
        <w:tc>
          <w:tcPr>
            <w:tcW w:w="5950" w:type="dxa"/>
            <w:tcBorders>
              <w:top w:val="single" w:sz="4" w:space="0" w:color="auto"/>
              <w:left w:val="single" w:sz="4" w:space="0" w:color="auto"/>
              <w:bottom w:val="single" w:sz="4" w:space="0" w:color="auto"/>
              <w:right w:val="single" w:sz="4" w:space="0" w:color="auto"/>
            </w:tcBorders>
            <w:vAlign w:val="center"/>
          </w:tcPr>
          <w:p w:rsidR="00FF231C" w:rsidRPr="00FA5A84" w:rsidRDefault="00FF231C" w:rsidP="00ED1717">
            <w:pPr>
              <w:rPr>
                <w:rFonts w:ascii="Times New Roman" w:hAnsi="Times New Roman"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20"/>
              </w:rPr>
            </w:pPr>
          </w:p>
        </w:tc>
        <w:tc>
          <w:tcPr>
            <w:tcW w:w="1984"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20"/>
              </w:rPr>
            </w:pPr>
          </w:p>
        </w:tc>
        <w:tc>
          <w:tcPr>
            <w:tcW w:w="2024" w:type="dxa"/>
            <w:tcBorders>
              <w:top w:val="single" w:sz="4" w:space="0" w:color="auto"/>
              <w:left w:val="single" w:sz="4" w:space="0" w:color="auto"/>
              <w:bottom w:val="single" w:sz="4" w:space="0" w:color="auto"/>
              <w:right w:val="single" w:sz="4" w:space="0" w:color="auto"/>
            </w:tcBorders>
            <w:vAlign w:val="center"/>
          </w:tcPr>
          <w:p w:rsidR="00FF231C" w:rsidRPr="00FA5A84" w:rsidRDefault="00FF231C" w:rsidP="00ED1717">
            <w:pPr>
              <w:jc w:val="both"/>
              <w:rPr>
                <w:rFonts w:ascii="Times New Roman" w:hAnsi="Times New Roman" w:cs="Times New Roman"/>
                <w:sz w:val="20"/>
                <w:szCs w:val="20"/>
              </w:rPr>
            </w:pPr>
            <w:r w:rsidRPr="00FA5A84">
              <w:rPr>
                <w:rFonts w:ascii="Times New Roman" w:hAnsi="Times New Roman" w:cs="Times New Roman"/>
                <w:sz w:val="20"/>
                <w:szCs w:val="20"/>
              </w:rPr>
              <w:t>$  0</w:t>
            </w:r>
          </w:p>
        </w:tc>
      </w:tr>
      <w:tr w:rsidR="00FF231C" w:rsidRPr="00FA5A84" w:rsidTr="00163C23">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Pr="00FA5A84" w:rsidRDefault="00FF231C" w:rsidP="00ED1717">
            <w:pPr>
              <w:jc w:val="center"/>
              <w:rPr>
                <w:rFonts w:ascii="Times New Roman" w:hAnsi="Times New Roman" w:cs="Times New Roman"/>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Pr="00FA5A84" w:rsidRDefault="00FF231C" w:rsidP="00ED1717">
            <w:pPr>
              <w:jc w:val="both"/>
              <w:rPr>
                <w:rFonts w:ascii="Times New Roman" w:hAnsi="Times New Roman" w:cs="Times New Roman"/>
                <w:b/>
                <w:sz w:val="20"/>
                <w:szCs w:val="20"/>
              </w:rPr>
            </w:pPr>
            <w:r w:rsidRPr="00FA5A84">
              <w:rPr>
                <w:rFonts w:ascii="Times New Roman" w:hAnsi="Times New Roman" w:cs="Times New Roman"/>
                <w:b/>
                <w:sz w:val="20"/>
                <w:szCs w:val="20"/>
              </w:rPr>
              <w:t>Material bibliográfico</w:t>
            </w:r>
          </w:p>
        </w:tc>
        <w:tc>
          <w:tcPr>
            <w:tcW w:w="5950" w:type="dxa"/>
            <w:tcBorders>
              <w:top w:val="single" w:sz="4" w:space="0" w:color="auto"/>
              <w:left w:val="single" w:sz="4" w:space="0" w:color="auto"/>
              <w:bottom w:val="single" w:sz="4" w:space="0" w:color="auto"/>
              <w:right w:val="single" w:sz="4" w:space="0" w:color="auto"/>
            </w:tcBorders>
            <w:vAlign w:val="center"/>
          </w:tcPr>
          <w:p w:rsidR="00FF231C" w:rsidRPr="00FA5A84" w:rsidRDefault="00FF231C" w:rsidP="00ED1717">
            <w:pPr>
              <w:rPr>
                <w:rFonts w:ascii="Times New Roman" w:hAnsi="Times New Roman"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20"/>
              </w:rPr>
            </w:pPr>
          </w:p>
        </w:tc>
        <w:tc>
          <w:tcPr>
            <w:tcW w:w="1984"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20"/>
              </w:rPr>
            </w:pPr>
          </w:p>
        </w:tc>
        <w:tc>
          <w:tcPr>
            <w:tcW w:w="2024" w:type="dxa"/>
            <w:tcBorders>
              <w:top w:val="single" w:sz="4" w:space="0" w:color="auto"/>
              <w:left w:val="single" w:sz="4" w:space="0" w:color="auto"/>
              <w:bottom w:val="single" w:sz="4" w:space="0" w:color="auto"/>
              <w:right w:val="single" w:sz="4" w:space="0" w:color="auto"/>
            </w:tcBorders>
            <w:vAlign w:val="center"/>
          </w:tcPr>
          <w:p w:rsidR="00FF231C" w:rsidRPr="00FA5A84" w:rsidRDefault="00FF231C" w:rsidP="00ED1717">
            <w:pPr>
              <w:jc w:val="both"/>
              <w:rPr>
                <w:rFonts w:ascii="Times New Roman" w:hAnsi="Times New Roman" w:cs="Times New Roman"/>
                <w:sz w:val="20"/>
                <w:szCs w:val="20"/>
              </w:rPr>
            </w:pPr>
          </w:p>
        </w:tc>
      </w:tr>
      <w:tr w:rsidR="00FF231C" w:rsidRPr="00FA5A84" w:rsidTr="00163C23">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rPr>
                <w:rFonts w:ascii="Times New Roman" w:hAnsi="Times New Roman" w:cs="Times New Roman"/>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both"/>
              <w:rPr>
                <w:rFonts w:ascii="Times New Roman" w:hAnsi="Times New Roman" w:cs="Times New Roman"/>
                <w:b/>
                <w:sz w:val="20"/>
                <w:szCs w:val="20"/>
              </w:rPr>
            </w:pPr>
            <w:r w:rsidRPr="00FA5A84">
              <w:rPr>
                <w:rFonts w:ascii="Times New Roman" w:hAnsi="Times New Roman" w:cs="Times New Roman"/>
                <w:b/>
                <w:sz w:val="20"/>
                <w:szCs w:val="20"/>
              </w:rPr>
              <w:t>Auxilio de transporte</w:t>
            </w:r>
          </w:p>
        </w:tc>
        <w:tc>
          <w:tcPr>
            <w:tcW w:w="5950" w:type="dxa"/>
            <w:tcBorders>
              <w:top w:val="single" w:sz="4" w:space="0" w:color="auto"/>
              <w:left w:val="single" w:sz="4" w:space="0" w:color="auto"/>
              <w:bottom w:val="single" w:sz="4" w:space="0" w:color="auto"/>
              <w:right w:val="single" w:sz="4" w:space="0" w:color="auto"/>
            </w:tcBorders>
            <w:vAlign w:val="center"/>
          </w:tcPr>
          <w:p w:rsidR="00FF231C" w:rsidRPr="00FA5A84" w:rsidRDefault="00FF231C" w:rsidP="00ED1717">
            <w:pPr>
              <w:jc w:val="both"/>
              <w:rPr>
                <w:rFonts w:ascii="Times New Roman" w:hAnsi="Times New Roman"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20"/>
              </w:rPr>
            </w:pPr>
          </w:p>
        </w:tc>
        <w:tc>
          <w:tcPr>
            <w:tcW w:w="1984"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20"/>
              </w:rPr>
            </w:pPr>
          </w:p>
        </w:tc>
        <w:tc>
          <w:tcPr>
            <w:tcW w:w="2024" w:type="dxa"/>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both"/>
              <w:rPr>
                <w:rFonts w:ascii="Times New Roman" w:hAnsi="Times New Roman" w:cs="Times New Roman"/>
                <w:sz w:val="20"/>
                <w:szCs w:val="20"/>
              </w:rPr>
            </w:pPr>
            <w:r w:rsidRPr="00FA5A84">
              <w:rPr>
                <w:rFonts w:ascii="Times New Roman" w:hAnsi="Times New Roman" w:cs="Times New Roman"/>
                <w:sz w:val="20"/>
                <w:szCs w:val="20"/>
              </w:rPr>
              <w:t>$ 0</w:t>
            </w:r>
          </w:p>
        </w:tc>
      </w:tr>
      <w:tr w:rsidR="00FF231C" w:rsidRPr="00FA5A84" w:rsidTr="00163C23">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rPr>
                <w:rFonts w:ascii="Times New Roman" w:hAnsi="Times New Roman" w:cs="Times New Roman"/>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both"/>
              <w:rPr>
                <w:rFonts w:ascii="Times New Roman" w:hAnsi="Times New Roman" w:cs="Times New Roman"/>
                <w:b/>
                <w:sz w:val="20"/>
                <w:szCs w:val="20"/>
              </w:rPr>
            </w:pPr>
            <w:r w:rsidRPr="00FA5A84">
              <w:rPr>
                <w:rFonts w:ascii="Times New Roman" w:hAnsi="Times New Roman" w:cs="Times New Roman"/>
                <w:b/>
                <w:sz w:val="20"/>
                <w:szCs w:val="20"/>
              </w:rPr>
              <w:t xml:space="preserve">Movilidad </w:t>
            </w:r>
          </w:p>
        </w:tc>
        <w:tc>
          <w:tcPr>
            <w:tcW w:w="5950" w:type="dxa"/>
            <w:tcBorders>
              <w:top w:val="single" w:sz="4" w:space="0" w:color="auto"/>
              <w:left w:val="single" w:sz="4" w:space="0" w:color="auto"/>
              <w:bottom w:val="single" w:sz="4" w:space="0" w:color="auto"/>
              <w:right w:val="single" w:sz="4" w:space="0" w:color="auto"/>
            </w:tcBorders>
            <w:vAlign w:val="center"/>
          </w:tcPr>
          <w:p w:rsidR="00FF231C" w:rsidRPr="00FA5A84" w:rsidRDefault="00FF231C" w:rsidP="00ED1717">
            <w:pPr>
              <w:jc w:val="both"/>
              <w:rPr>
                <w:rFonts w:ascii="Times New Roman" w:hAnsi="Times New Roman" w:cs="Times New Roman"/>
                <w:sz w:val="20"/>
                <w:szCs w:val="20"/>
              </w:rPr>
            </w:pPr>
          </w:p>
        </w:tc>
        <w:tc>
          <w:tcPr>
            <w:tcW w:w="1560"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20"/>
              </w:rPr>
            </w:pPr>
          </w:p>
        </w:tc>
        <w:tc>
          <w:tcPr>
            <w:tcW w:w="1984"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20"/>
              </w:rPr>
            </w:pPr>
          </w:p>
        </w:tc>
        <w:tc>
          <w:tcPr>
            <w:tcW w:w="2024" w:type="dxa"/>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both"/>
              <w:rPr>
                <w:rFonts w:ascii="Times New Roman" w:hAnsi="Times New Roman" w:cs="Times New Roman"/>
                <w:sz w:val="20"/>
                <w:szCs w:val="20"/>
              </w:rPr>
            </w:pPr>
            <w:r w:rsidRPr="00FA5A84">
              <w:rPr>
                <w:rFonts w:ascii="Times New Roman" w:hAnsi="Times New Roman" w:cs="Times New Roman"/>
                <w:sz w:val="20"/>
                <w:szCs w:val="20"/>
              </w:rPr>
              <w:t>$ 0</w:t>
            </w:r>
          </w:p>
        </w:tc>
      </w:tr>
      <w:tr w:rsidR="00FF231C" w:rsidRPr="00FA5A84" w:rsidTr="00163C23">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rPr>
                <w:rFonts w:ascii="Times New Roman" w:hAnsi="Times New Roman" w:cs="Times New Roman"/>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both"/>
              <w:rPr>
                <w:rFonts w:ascii="Times New Roman" w:hAnsi="Times New Roman" w:cs="Times New Roman"/>
                <w:b/>
                <w:sz w:val="20"/>
                <w:szCs w:val="20"/>
              </w:rPr>
            </w:pPr>
            <w:r w:rsidRPr="00FA5A84">
              <w:rPr>
                <w:rFonts w:ascii="Times New Roman" w:hAnsi="Times New Roman" w:cs="Times New Roman"/>
                <w:b/>
                <w:sz w:val="20"/>
                <w:szCs w:val="20"/>
              </w:rPr>
              <w:t>Publicaciones (Artículos, proceso editorial y traducción)</w:t>
            </w:r>
          </w:p>
        </w:tc>
        <w:tc>
          <w:tcPr>
            <w:tcW w:w="5950" w:type="dxa"/>
            <w:tcBorders>
              <w:top w:val="single" w:sz="4" w:space="0" w:color="auto"/>
              <w:left w:val="single" w:sz="4" w:space="0" w:color="auto"/>
              <w:bottom w:val="single" w:sz="4" w:space="0" w:color="auto"/>
              <w:right w:val="single" w:sz="4" w:space="0" w:color="auto"/>
            </w:tcBorders>
            <w:vAlign w:val="center"/>
          </w:tcPr>
          <w:p w:rsidR="00FF231C" w:rsidRPr="00FA5A84" w:rsidRDefault="00FF231C" w:rsidP="00ED1717">
            <w:pPr>
              <w:jc w:val="both"/>
              <w:rPr>
                <w:rFonts w:ascii="Times New Roman" w:hAnsi="Times New Roman" w:cs="Times New Roman"/>
                <w:sz w:val="20"/>
                <w:szCs w:val="16"/>
              </w:rPr>
            </w:pPr>
          </w:p>
        </w:tc>
        <w:tc>
          <w:tcPr>
            <w:tcW w:w="1560"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20"/>
              </w:rPr>
            </w:pPr>
          </w:p>
        </w:tc>
        <w:tc>
          <w:tcPr>
            <w:tcW w:w="1984" w:type="dxa"/>
            <w:tcBorders>
              <w:top w:val="single" w:sz="4" w:space="0" w:color="auto"/>
              <w:left w:val="single" w:sz="4" w:space="0" w:color="auto"/>
              <w:bottom w:val="single" w:sz="4" w:space="0" w:color="auto"/>
              <w:right w:val="single" w:sz="4" w:space="0" w:color="auto"/>
            </w:tcBorders>
          </w:tcPr>
          <w:p w:rsidR="00FF231C" w:rsidRPr="00FA5A84" w:rsidRDefault="00FF231C" w:rsidP="00ED1717">
            <w:pPr>
              <w:jc w:val="both"/>
              <w:rPr>
                <w:rFonts w:ascii="Times New Roman" w:hAnsi="Times New Roman" w:cs="Times New Roman"/>
                <w:sz w:val="20"/>
                <w:szCs w:val="20"/>
              </w:rPr>
            </w:pPr>
          </w:p>
        </w:tc>
        <w:tc>
          <w:tcPr>
            <w:tcW w:w="2024" w:type="dxa"/>
            <w:tcBorders>
              <w:top w:val="single" w:sz="4" w:space="0" w:color="auto"/>
              <w:left w:val="single" w:sz="4" w:space="0" w:color="auto"/>
              <w:bottom w:val="single" w:sz="4" w:space="0" w:color="auto"/>
              <w:right w:val="single" w:sz="4" w:space="0" w:color="auto"/>
            </w:tcBorders>
            <w:vAlign w:val="center"/>
            <w:hideMark/>
          </w:tcPr>
          <w:p w:rsidR="00FF231C" w:rsidRPr="00FA5A84" w:rsidRDefault="00FF231C" w:rsidP="00ED1717">
            <w:pPr>
              <w:jc w:val="both"/>
              <w:rPr>
                <w:rFonts w:ascii="Times New Roman" w:hAnsi="Times New Roman" w:cs="Times New Roman"/>
                <w:sz w:val="20"/>
                <w:szCs w:val="20"/>
              </w:rPr>
            </w:pPr>
            <w:r w:rsidRPr="00FA5A84">
              <w:rPr>
                <w:rFonts w:ascii="Times New Roman" w:hAnsi="Times New Roman" w:cs="Times New Roman"/>
                <w:sz w:val="20"/>
                <w:szCs w:val="20"/>
              </w:rPr>
              <w:t>$ 0</w:t>
            </w:r>
          </w:p>
        </w:tc>
      </w:tr>
      <w:tr w:rsidR="00FF231C" w:rsidRPr="00FA5A84" w:rsidTr="00163C23">
        <w:trPr>
          <w:trHeight w:val="364"/>
        </w:trPr>
        <w:tc>
          <w:tcPr>
            <w:tcW w:w="12724" w:type="dxa"/>
            <w:gridSpan w:val="5"/>
            <w:tcBorders>
              <w:top w:val="single" w:sz="4" w:space="0" w:color="auto"/>
              <w:left w:val="single" w:sz="4" w:space="0" w:color="auto"/>
              <w:bottom w:val="single" w:sz="4" w:space="0" w:color="auto"/>
              <w:right w:val="single" w:sz="4" w:space="0" w:color="auto"/>
            </w:tcBorders>
            <w:vAlign w:val="center"/>
          </w:tcPr>
          <w:p w:rsidR="00FF231C" w:rsidRPr="00FA5A84" w:rsidRDefault="00FF231C" w:rsidP="00FF231C">
            <w:pPr>
              <w:jc w:val="right"/>
              <w:rPr>
                <w:rFonts w:ascii="Times New Roman" w:hAnsi="Times New Roman" w:cs="Times New Roman"/>
                <w:sz w:val="24"/>
                <w:szCs w:val="24"/>
              </w:rPr>
            </w:pPr>
            <w:r w:rsidRPr="00FA5A84">
              <w:rPr>
                <w:rFonts w:ascii="Times New Roman" w:hAnsi="Times New Roman" w:cs="Times New Roman"/>
                <w:b/>
                <w:sz w:val="24"/>
                <w:szCs w:val="24"/>
              </w:rPr>
              <w:t>TOTAL DEL PROYECTO:</w:t>
            </w:r>
          </w:p>
        </w:tc>
        <w:tc>
          <w:tcPr>
            <w:tcW w:w="2024" w:type="dxa"/>
            <w:tcBorders>
              <w:top w:val="single" w:sz="4" w:space="0" w:color="auto"/>
              <w:left w:val="single" w:sz="4" w:space="0" w:color="auto"/>
              <w:bottom w:val="single" w:sz="4" w:space="0" w:color="auto"/>
              <w:right w:val="single" w:sz="4" w:space="0" w:color="auto"/>
            </w:tcBorders>
            <w:vAlign w:val="center"/>
          </w:tcPr>
          <w:p w:rsidR="00FF231C" w:rsidRPr="00FA5A84" w:rsidRDefault="00163C23" w:rsidP="00ED1717">
            <w:pPr>
              <w:jc w:val="both"/>
              <w:rPr>
                <w:rFonts w:ascii="Times New Roman" w:hAnsi="Times New Roman" w:cs="Times New Roman"/>
                <w:b/>
                <w:sz w:val="24"/>
                <w:szCs w:val="24"/>
              </w:rPr>
            </w:pPr>
            <w:r w:rsidRPr="00FA5A84">
              <w:rPr>
                <w:rFonts w:ascii="Times New Roman" w:hAnsi="Times New Roman" w:cs="Times New Roman"/>
                <w:b/>
                <w:sz w:val="24"/>
                <w:szCs w:val="24"/>
              </w:rPr>
              <w:t>51.605.000</w:t>
            </w:r>
          </w:p>
        </w:tc>
      </w:tr>
    </w:tbl>
    <w:p w:rsidR="00ED1717" w:rsidRPr="00FA5A84" w:rsidRDefault="00ED1717" w:rsidP="001D6087">
      <w:pPr>
        <w:spacing w:after="0" w:line="240" w:lineRule="auto"/>
        <w:rPr>
          <w:rFonts w:ascii="Times New Roman" w:eastAsia="Times New Roman" w:hAnsi="Times New Roman" w:cs="Times New Roman"/>
          <w:sz w:val="24"/>
          <w:szCs w:val="24"/>
          <w:lang w:eastAsia="es-CO"/>
        </w:rPr>
      </w:pPr>
    </w:p>
    <w:p w:rsidR="00ED1717" w:rsidRPr="00FA5A84" w:rsidRDefault="00ED1717" w:rsidP="001D6087">
      <w:pPr>
        <w:spacing w:after="0" w:line="240" w:lineRule="auto"/>
        <w:rPr>
          <w:rFonts w:ascii="Times New Roman" w:eastAsia="Times New Roman" w:hAnsi="Times New Roman" w:cs="Times New Roman"/>
          <w:sz w:val="24"/>
          <w:szCs w:val="24"/>
          <w:lang w:eastAsia="es-CO"/>
        </w:rPr>
      </w:pPr>
    </w:p>
    <w:tbl>
      <w:tblPr>
        <w:tblW w:w="14654" w:type="dxa"/>
        <w:shd w:val="clear" w:color="auto" w:fill="FFFFFF"/>
        <w:tblLook w:val="04A0"/>
      </w:tblPr>
      <w:tblGrid>
        <w:gridCol w:w="14736"/>
      </w:tblGrid>
      <w:tr w:rsidR="002A18AF" w:rsidRPr="00FA5A84" w:rsidTr="000228BC">
        <w:tc>
          <w:tcPr>
            <w:tcW w:w="146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FA5A84" w:rsidRDefault="002A18AF" w:rsidP="00ED171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FA5A84">
              <w:rPr>
                <w:rFonts w:ascii="Times New Roman" w:eastAsia="Times New Roman" w:hAnsi="Times New Roman" w:cs="Times New Roman"/>
                <w:b/>
                <w:bCs/>
                <w:color w:val="222222"/>
                <w:sz w:val="24"/>
                <w:szCs w:val="24"/>
                <w:lang w:eastAsia="es-CO"/>
              </w:rPr>
              <w:t>Referencia</w:t>
            </w:r>
            <w:r w:rsidR="00ED1717" w:rsidRPr="00FA5A84">
              <w:rPr>
                <w:rFonts w:ascii="Times New Roman" w:eastAsia="Times New Roman" w:hAnsi="Times New Roman" w:cs="Times New Roman"/>
                <w:b/>
                <w:bCs/>
                <w:color w:val="222222"/>
                <w:sz w:val="24"/>
                <w:szCs w:val="24"/>
                <w:lang w:eastAsia="es-CO"/>
              </w:rPr>
              <w:t xml:space="preserve"> bibliográficas</w:t>
            </w:r>
          </w:p>
        </w:tc>
      </w:tr>
      <w:tr w:rsidR="002A18AF" w:rsidRPr="00FA5A84" w:rsidTr="000228BC">
        <w:tc>
          <w:tcPr>
            <w:tcW w:w="146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163C23" w:rsidRPr="00FA5A84" w:rsidRDefault="00163C23" w:rsidP="00163C23">
            <w:pPr>
              <w:pStyle w:val="Bibliografa"/>
              <w:ind w:left="720" w:hanging="720"/>
              <w:rPr>
                <w:rFonts w:ascii="Times New Roman" w:hAnsi="Times New Roman" w:cs="Times New Roman"/>
                <w:noProof/>
                <w:sz w:val="24"/>
                <w:szCs w:val="24"/>
              </w:rPr>
            </w:pPr>
            <w:r w:rsidRPr="00FA5A84">
              <w:rPr>
                <w:rFonts w:ascii="Times New Roman" w:hAnsi="Times New Roman" w:cs="Times New Roman"/>
                <w:sz w:val="24"/>
                <w:szCs w:val="24"/>
              </w:rPr>
              <w:t>ARCOS, Oscar (2015). Renta del suelo urbano y bienestar. Pertinencia del Teorema de GHV. Tesis Doctoral, Universidad Nacional de Colombia, Bogotá</w:t>
            </w:r>
            <w:r w:rsidR="005E4A4C" w:rsidRPr="00FA5A84">
              <w:rPr>
                <w:rFonts w:ascii="Times New Roman" w:hAnsi="Times New Roman" w:cs="Times New Roman"/>
                <w:sz w:val="24"/>
                <w:szCs w:val="24"/>
              </w:rPr>
              <w:fldChar w:fldCharType="begin"/>
            </w:r>
            <w:r w:rsidRPr="00FA5A84">
              <w:rPr>
                <w:rFonts w:ascii="Times New Roman" w:hAnsi="Times New Roman" w:cs="Times New Roman"/>
                <w:sz w:val="24"/>
                <w:szCs w:val="24"/>
                <w:lang w:val="en-US"/>
              </w:rPr>
              <w:instrText xml:space="preserve"> BIBLIOGRAPHY  \l 9226 </w:instrText>
            </w:r>
            <w:r w:rsidR="005E4A4C" w:rsidRPr="00FA5A84">
              <w:rPr>
                <w:rFonts w:ascii="Times New Roman" w:hAnsi="Times New Roman" w:cs="Times New Roman"/>
                <w:sz w:val="24"/>
                <w:szCs w:val="24"/>
              </w:rPr>
              <w:fldChar w:fldCharType="separate"/>
            </w:r>
            <w:r w:rsidRPr="00FA5A84">
              <w:rPr>
                <w:rFonts w:ascii="Times New Roman" w:hAnsi="Times New Roman" w:cs="Times New Roman"/>
                <w:noProof/>
                <w:sz w:val="24"/>
                <w:szCs w:val="24"/>
              </w:rPr>
              <w:t>.</w:t>
            </w:r>
          </w:p>
          <w:p w:rsidR="00163C23" w:rsidRPr="00FA5A84" w:rsidRDefault="00163C23" w:rsidP="00163C23">
            <w:pPr>
              <w:pStyle w:val="Bibliografa"/>
              <w:ind w:left="720" w:hanging="720"/>
              <w:rPr>
                <w:rFonts w:ascii="Times New Roman" w:hAnsi="Times New Roman" w:cs="Times New Roman"/>
                <w:noProof/>
                <w:sz w:val="24"/>
                <w:szCs w:val="24"/>
              </w:rPr>
            </w:pPr>
            <w:r w:rsidRPr="00FA5A84">
              <w:rPr>
                <w:rFonts w:ascii="Times New Roman" w:hAnsi="Times New Roman" w:cs="Times New Roman"/>
                <w:noProof/>
                <w:sz w:val="24"/>
                <w:szCs w:val="24"/>
              </w:rPr>
              <w:t xml:space="preserve">ARCOS, Oscar y CASASFRANCO, María Virginia (2007). 10 años de Metrovivienda. UN-Hábitat y Secretaría Distrital del Hábitat, Bogotá. </w:t>
            </w:r>
          </w:p>
          <w:p w:rsidR="00163C23" w:rsidRPr="00FA5A84" w:rsidRDefault="00163C23" w:rsidP="00163C23">
            <w:pPr>
              <w:pStyle w:val="Bibliografa"/>
              <w:ind w:left="720" w:hanging="720"/>
              <w:rPr>
                <w:rFonts w:ascii="Times New Roman" w:hAnsi="Times New Roman" w:cs="Times New Roman"/>
                <w:noProof/>
                <w:sz w:val="24"/>
                <w:szCs w:val="24"/>
              </w:rPr>
            </w:pPr>
            <w:r w:rsidRPr="00FA5A84">
              <w:rPr>
                <w:rFonts w:ascii="Times New Roman" w:hAnsi="Times New Roman" w:cs="Times New Roman"/>
                <w:noProof/>
                <w:sz w:val="24"/>
                <w:szCs w:val="24"/>
              </w:rPr>
              <w:t>CAMAGNI, Roberto (2005). Economía Urbana, Barcelona: Antoni Bosch, Editor. (Versión original 2005).</w:t>
            </w:r>
          </w:p>
          <w:p w:rsidR="00163C23" w:rsidRPr="00FA5A84" w:rsidRDefault="00163C23" w:rsidP="00163C23">
            <w:pPr>
              <w:pStyle w:val="Bibliografa"/>
              <w:ind w:left="720" w:hanging="720"/>
              <w:rPr>
                <w:rFonts w:ascii="Times New Roman" w:hAnsi="Times New Roman" w:cs="Times New Roman"/>
                <w:noProof/>
                <w:sz w:val="24"/>
                <w:szCs w:val="24"/>
              </w:rPr>
            </w:pPr>
            <w:r w:rsidRPr="00FA5A84">
              <w:rPr>
                <w:rFonts w:ascii="Times New Roman" w:hAnsi="Times New Roman" w:cs="Times New Roman"/>
                <w:noProof/>
                <w:sz w:val="24"/>
                <w:szCs w:val="24"/>
              </w:rPr>
              <w:t>CENAC (2017). Calculando el déficit de vivienda a partir de la Gran Encuesta Integrada de Hogares. Obtenido de http://www.cenac.org.co/: http://www.cenac.org.co/index.shtml?apc=I1----&amp;x=20158226</w:t>
            </w:r>
          </w:p>
          <w:p w:rsidR="00163C23" w:rsidRPr="00FA5A84" w:rsidRDefault="00163C23" w:rsidP="00163C23">
            <w:pPr>
              <w:rPr>
                <w:rFonts w:ascii="Times New Roman" w:hAnsi="Times New Roman" w:cs="Times New Roman"/>
                <w:noProof/>
                <w:sz w:val="24"/>
                <w:szCs w:val="24"/>
              </w:rPr>
            </w:pPr>
            <w:r w:rsidRPr="00FA5A84">
              <w:rPr>
                <w:rFonts w:ascii="Times New Roman" w:hAnsi="Times New Roman" w:cs="Times New Roman"/>
                <w:noProof/>
                <w:sz w:val="24"/>
                <w:szCs w:val="24"/>
              </w:rPr>
              <w:t>DANE (2009). Metodología Déficit de Vivienda. Colección Documentos, Núm. 79.</w:t>
            </w:r>
          </w:p>
          <w:p w:rsidR="00163C23" w:rsidRPr="00FA5A84" w:rsidRDefault="00163C23" w:rsidP="00163C23">
            <w:pPr>
              <w:rPr>
                <w:rFonts w:ascii="Times New Roman" w:hAnsi="Times New Roman" w:cs="Times New Roman"/>
                <w:sz w:val="24"/>
                <w:szCs w:val="24"/>
              </w:rPr>
            </w:pPr>
            <w:r w:rsidRPr="00FA5A84">
              <w:rPr>
                <w:rFonts w:ascii="Times New Roman" w:hAnsi="Times New Roman" w:cs="Times New Roman"/>
                <w:noProof/>
                <w:sz w:val="24"/>
                <w:szCs w:val="24"/>
              </w:rPr>
              <w:t>DANE (2014). Encuesta Multipropósito de Bogotá (EMB).</w:t>
            </w:r>
          </w:p>
          <w:p w:rsidR="00163C23" w:rsidRPr="00FA5A84" w:rsidRDefault="00163C23" w:rsidP="00163C23">
            <w:pPr>
              <w:pStyle w:val="Bibliografa"/>
              <w:ind w:left="720" w:hanging="720"/>
              <w:rPr>
                <w:rFonts w:ascii="Times New Roman" w:hAnsi="Times New Roman" w:cs="Times New Roman"/>
                <w:noProof/>
                <w:sz w:val="24"/>
                <w:szCs w:val="24"/>
              </w:rPr>
            </w:pPr>
            <w:r w:rsidRPr="00FA5A84">
              <w:rPr>
                <w:rFonts w:ascii="Times New Roman" w:hAnsi="Times New Roman" w:cs="Times New Roman"/>
                <w:noProof/>
                <w:sz w:val="24"/>
                <w:szCs w:val="24"/>
              </w:rPr>
              <w:t>FEDESARROLLO (2009). “Hacia una nueva concepción de la vivienda y el Desarrollo Urbano”. En coyuntura social No. 9, pág 177.</w:t>
            </w:r>
          </w:p>
          <w:p w:rsidR="00163C23" w:rsidRPr="00FA5A84" w:rsidRDefault="00163C23" w:rsidP="00163C23">
            <w:pPr>
              <w:pStyle w:val="Bibliografa"/>
              <w:ind w:left="720" w:hanging="720"/>
              <w:rPr>
                <w:rFonts w:ascii="Times New Roman" w:hAnsi="Times New Roman" w:cs="Times New Roman"/>
                <w:noProof/>
                <w:sz w:val="24"/>
                <w:szCs w:val="24"/>
              </w:rPr>
            </w:pPr>
            <w:r w:rsidRPr="00FA5A84">
              <w:rPr>
                <w:rFonts w:ascii="Times New Roman" w:hAnsi="Times New Roman" w:cs="Times New Roman"/>
                <w:noProof/>
                <w:sz w:val="24"/>
                <w:szCs w:val="24"/>
              </w:rPr>
              <w:t>JARAMILLO, Samuel (1994). Hacia una Teoría de la Renta del Suelo Urbano, Ediciones Uniandes – Instituto Geográfico Agustín Codazzi, Bogotá.</w:t>
            </w:r>
          </w:p>
          <w:p w:rsidR="00163C23" w:rsidRPr="00FA5A84" w:rsidRDefault="00163C23" w:rsidP="00163C23">
            <w:pPr>
              <w:pStyle w:val="Bibliografa"/>
              <w:ind w:left="720" w:hanging="720"/>
              <w:rPr>
                <w:rFonts w:ascii="Times New Roman" w:hAnsi="Times New Roman" w:cs="Times New Roman"/>
                <w:noProof/>
                <w:sz w:val="24"/>
                <w:szCs w:val="24"/>
              </w:rPr>
            </w:pPr>
            <w:r w:rsidRPr="00FA5A84">
              <w:rPr>
                <w:rFonts w:ascii="Times New Roman" w:hAnsi="Times New Roman" w:cs="Times New Roman"/>
                <w:noProof/>
                <w:sz w:val="24"/>
                <w:szCs w:val="24"/>
              </w:rPr>
              <w:t>ONU-Hábitat (2015). Déficit habitacional en America Latina y el Caribe: Una herramienta para el diagnóstico y el desarrollo de políticas efectivas en vivienda y hábitat.</w:t>
            </w:r>
          </w:p>
          <w:p w:rsidR="00163C23" w:rsidRPr="00FA5A84" w:rsidRDefault="00163C23" w:rsidP="00163C23">
            <w:pPr>
              <w:ind w:left="709" w:hanging="709"/>
              <w:rPr>
                <w:rFonts w:ascii="Times New Roman" w:hAnsi="Times New Roman" w:cs="Times New Roman"/>
                <w:sz w:val="24"/>
                <w:szCs w:val="24"/>
              </w:rPr>
            </w:pPr>
            <w:r w:rsidRPr="00FA5A84">
              <w:rPr>
                <w:rFonts w:ascii="Times New Roman" w:hAnsi="Times New Roman" w:cs="Times New Roman"/>
                <w:sz w:val="24"/>
                <w:szCs w:val="24"/>
              </w:rPr>
              <w:t>Secretaría Distrital del Hábitat - SDHT (2015). El déficit habitacional en Bogotá D.C. 2014: Evolución y análisis socioeconómico de los hogares.</w:t>
            </w:r>
          </w:p>
          <w:p w:rsidR="00163C23" w:rsidRPr="00FA5A84" w:rsidRDefault="00163C23" w:rsidP="00163C23">
            <w:pPr>
              <w:pStyle w:val="Bibliografa"/>
              <w:ind w:left="720" w:hanging="720"/>
              <w:rPr>
                <w:rFonts w:ascii="Times New Roman" w:hAnsi="Times New Roman" w:cs="Times New Roman"/>
                <w:noProof/>
                <w:sz w:val="24"/>
                <w:szCs w:val="24"/>
              </w:rPr>
            </w:pPr>
            <w:r w:rsidRPr="00FA5A84">
              <w:rPr>
                <w:rFonts w:ascii="Times New Roman" w:hAnsi="Times New Roman" w:cs="Times New Roman"/>
                <w:sz w:val="24"/>
                <w:szCs w:val="24"/>
              </w:rPr>
              <w:t>Secretaría Distrital del Hábitat - SDHT</w:t>
            </w:r>
            <w:r w:rsidRPr="00FA5A84">
              <w:rPr>
                <w:rFonts w:ascii="Times New Roman" w:hAnsi="Times New Roman" w:cs="Times New Roman"/>
                <w:noProof/>
                <w:sz w:val="24"/>
                <w:szCs w:val="24"/>
              </w:rPr>
              <w:t xml:space="preserve"> (2007). Política integral del hábitat 2007 - 2017. Bogotá: Secretaría Distrital de Hábitat. Comisión Intersectorial Poblacional del Distrito Capital. (2013). Lineamientos distritales para la aplicación de enfoque diferencial. Bogotá D.C.: Alacaldía Mayor de Bogotá D.C. </w:t>
            </w:r>
          </w:p>
          <w:p w:rsidR="00163C23" w:rsidRPr="00FA5A84" w:rsidRDefault="00163C23" w:rsidP="00163C23">
            <w:pPr>
              <w:pStyle w:val="Bibliografa"/>
              <w:ind w:left="720" w:hanging="720"/>
              <w:rPr>
                <w:rFonts w:ascii="Times New Roman" w:hAnsi="Times New Roman" w:cs="Times New Roman"/>
                <w:noProof/>
                <w:sz w:val="24"/>
                <w:szCs w:val="24"/>
              </w:rPr>
            </w:pPr>
            <w:r w:rsidRPr="00FA5A84">
              <w:rPr>
                <w:rFonts w:ascii="Times New Roman" w:hAnsi="Times New Roman" w:cs="Times New Roman"/>
                <w:sz w:val="24"/>
                <w:szCs w:val="24"/>
              </w:rPr>
              <w:t>Secretaría Distrital de Planeación</w:t>
            </w:r>
            <w:r w:rsidRPr="00FA5A84">
              <w:rPr>
                <w:rFonts w:ascii="Times New Roman" w:hAnsi="Times New Roman" w:cs="Times New Roman"/>
                <w:noProof/>
                <w:sz w:val="24"/>
                <w:szCs w:val="24"/>
              </w:rPr>
              <w:t xml:space="preserve"> (2017). http://www.sdp.gov.co/. Obtenido dehttp://www.sdp.gov.co/portal/page/portal/PortalSDP/InformacionTomaDecisiones/Estadisticas/Bogot%E1%20Ciudad%20de%20Estad%EDsticas/2017/087-Estudio_Deficit_Vivienda_Sisben.pdf</w:t>
            </w:r>
          </w:p>
          <w:p w:rsidR="00163C23" w:rsidRPr="00FA5A84" w:rsidRDefault="00163C23" w:rsidP="00163C23">
            <w:pPr>
              <w:pStyle w:val="Bibliografa"/>
              <w:ind w:left="720" w:hanging="720"/>
              <w:rPr>
                <w:rFonts w:ascii="Times New Roman" w:hAnsi="Times New Roman" w:cs="Times New Roman"/>
                <w:noProof/>
                <w:sz w:val="24"/>
                <w:szCs w:val="24"/>
              </w:rPr>
            </w:pPr>
            <w:r w:rsidRPr="00FA5A84">
              <w:rPr>
                <w:rFonts w:ascii="Times New Roman" w:hAnsi="Times New Roman" w:cs="Times New Roman"/>
                <w:noProof/>
                <w:sz w:val="24"/>
                <w:szCs w:val="24"/>
              </w:rPr>
              <w:t>UN-Hábitat (2004). Hábitat y desarrollo humano. [Colombia]: CENAC : UN-Hábitat : UNDP.</w:t>
            </w:r>
          </w:p>
          <w:p w:rsidR="00ED1717" w:rsidRPr="00FA5A84" w:rsidRDefault="005E4A4C" w:rsidP="00163C23">
            <w:pPr>
              <w:rPr>
                <w:rFonts w:ascii="Times New Roman" w:eastAsia="Times New Roman" w:hAnsi="Times New Roman" w:cs="Times New Roman"/>
                <w:b/>
                <w:bCs/>
                <w:color w:val="222222"/>
                <w:sz w:val="24"/>
                <w:szCs w:val="24"/>
                <w:lang w:eastAsia="es-CO"/>
              </w:rPr>
            </w:pPr>
            <w:r w:rsidRPr="00FA5A84">
              <w:rPr>
                <w:rFonts w:ascii="Times New Roman" w:hAnsi="Times New Roman" w:cs="Times New Roman"/>
                <w:sz w:val="24"/>
                <w:szCs w:val="24"/>
              </w:rPr>
              <w:fldChar w:fldCharType="end"/>
            </w:r>
          </w:p>
        </w:tc>
      </w:tr>
    </w:tbl>
    <w:p w:rsidR="002A18AF" w:rsidRPr="00FA5A84"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tblPr>
      <w:tblGrid>
        <w:gridCol w:w="768"/>
      </w:tblGrid>
      <w:tr w:rsidR="00ED1717" w:rsidRPr="00FA5A84" w:rsidTr="00ED1717">
        <w:tc>
          <w:tcPr>
            <w:tcW w:w="0" w:type="auto"/>
            <w:shd w:val="clear" w:color="auto" w:fill="FFFFFF"/>
            <w:tcMar>
              <w:top w:w="15" w:type="dxa"/>
              <w:left w:w="15" w:type="dxa"/>
              <w:bottom w:w="15" w:type="dxa"/>
              <w:right w:w="15" w:type="dxa"/>
            </w:tcMar>
            <w:vAlign w:val="center"/>
            <w:hideMark/>
          </w:tcPr>
          <w:p w:rsidR="00ED1717" w:rsidRPr="00FA5A84" w:rsidRDefault="00ED1717">
            <w:pPr>
              <w:spacing w:after="0"/>
              <w:rPr>
                <w:rFonts w:ascii="Times New Roman" w:hAnsi="Times New Roman" w:cs="Times New Roman"/>
                <w:sz w:val="20"/>
                <w:szCs w:val="20"/>
                <w:lang w:eastAsia="es-CO"/>
              </w:rPr>
            </w:pPr>
          </w:p>
        </w:tc>
      </w:tr>
    </w:tbl>
    <w:p w:rsidR="00642463" w:rsidRPr="00FA5A84" w:rsidRDefault="00642463" w:rsidP="00163C23">
      <w:pPr>
        <w:rPr>
          <w:rFonts w:ascii="Times New Roman" w:hAnsi="Times New Roman" w:cs="Times New Roman"/>
          <w:b/>
          <w:lang w:val="es-ES"/>
        </w:rPr>
      </w:pPr>
      <w:bookmarkStart w:id="0" w:name="_GoBack"/>
      <w:bookmarkEnd w:id="0"/>
    </w:p>
    <w:sectPr w:rsidR="00642463" w:rsidRPr="00FA5A84" w:rsidSect="00265B89">
      <w:headerReference w:type="even" r:id="rId17"/>
      <w:headerReference w:type="default" r:id="rId18"/>
      <w:footerReference w:type="default" r:id="rId19"/>
      <w:headerReference w:type="first" r:id="rId20"/>
      <w:footerReference w:type="first" r:id="rId21"/>
      <w:pgSz w:w="15840" w:h="12240" w:orient="landscape"/>
      <w:pgMar w:top="567" w:right="567" w:bottom="567" w:left="567"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034B" w:rsidRDefault="000B034B" w:rsidP="00F14D0D">
      <w:pPr>
        <w:spacing w:after="0" w:line="240" w:lineRule="auto"/>
      </w:pPr>
      <w:r>
        <w:separator/>
      </w:r>
    </w:p>
  </w:endnote>
  <w:endnote w:type="continuationSeparator" w:id="1">
    <w:p w:rsidR="000B034B" w:rsidRDefault="000B034B" w:rsidP="00F14D0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34B" w:rsidRDefault="000B034B">
    <w:pPr>
      <w:pStyle w:val="Piedepgina"/>
    </w:pPr>
    <w:r w:rsidRPr="00ED1717">
      <w:rPr>
        <w:noProof/>
        <w:lang w:eastAsia="es-CO"/>
      </w:rPr>
      <w:drawing>
        <wp:anchor distT="0" distB="0" distL="114300" distR="114300" simplePos="0" relativeHeight="251688960" behindDoc="0" locked="0" layoutInCell="1" allowOverlap="1">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anchor>
      </w:drawing>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34B" w:rsidRDefault="000B034B">
    <w:pPr>
      <w:pStyle w:val="Piedepgina"/>
    </w:pPr>
    <w:r>
      <w:rPr>
        <w:noProof/>
        <w:lang w:eastAsia="es-CO"/>
      </w:rPr>
      <w:drawing>
        <wp:anchor distT="0" distB="0" distL="114300" distR="114300" simplePos="0" relativeHeight="251679744" behindDoc="0" locked="0" layoutInCell="1" allowOverlap="1">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034B" w:rsidRDefault="000B034B" w:rsidP="00F14D0D">
      <w:pPr>
        <w:spacing w:after="0" w:line="240" w:lineRule="auto"/>
      </w:pPr>
      <w:r>
        <w:separator/>
      </w:r>
    </w:p>
  </w:footnote>
  <w:footnote w:type="continuationSeparator" w:id="1">
    <w:p w:rsidR="000B034B" w:rsidRDefault="000B034B" w:rsidP="00F14D0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34B" w:rsidRDefault="000B034B">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34B" w:rsidRDefault="000B034B"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anchor>
      </w:drawing>
    </w:r>
  </w:p>
  <w:p w:rsidR="000B034B" w:rsidRDefault="000B034B" w:rsidP="004F1944">
    <w:pPr>
      <w:pStyle w:val="Encabezado"/>
      <w:jc w:val="right"/>
      <w:rPr>
        <w:sz w:val="14"/>
        <w:szCs w:val="16"/>
        <w:lang w:val="es-ES"/>
      </w:rPr>
    </w:pPr>
  </w:p>
  <w:p w:rsidR="000B034B" w:rsidRPr="004F1944" w:rsidRDefault="000B034B"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6F0291">
      <w:rPr>
        <w:b/>
        <w:bCs/>
        <w:noProof/>
        <w:sz w:val="14"/>
        <w:szCs w:val="16"/>
      </w:rPr>
      <w:t>7</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6F0291">
      <w:rPr>
        <w:b/>
        <w:bCs/>
        <w:noProof/>
        <w:sz w:val="14"/>
        <w:szCs w:val="16"/>
      </w:rPr>
      <w:t>10</w:t>
    </w:r>
    <w:r w:rsidRPr="006930C8">
      <w:rPr>
        <w:b/>
        <w:bCs/>
        <w:sz w:val="14"/>
        <w:szCs w:val="16"/>
      </w:rPr>
      <w:fldChar w:fldCharType="end"/>
    </w:r>
    <w:r w:rsidRPr="005E4A4C">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9836580"/>
      <w:docPartObj>
        <w:docPartGallery w:val="Page Numbers (Top of Page)"/>
        <w:docPartUnique/>
      </w:docPartObj>
    </w:sdtPr>
    <w:sdtEndPr>
      <w:rPr>
        <w:b/>
      </w:rPr>
    </w:sdtEndPr>
    <w:sdtContent>
      <w:p w:rsidR="000B034B" w:rsidRDefault="000B034B"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anchor>
          </w:drawing>
        </w:r>
      </w:p>
      <w:p w:rsidR="000B034B" w:rsidRDefault="000B034B"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591398">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591398">
          <w:rPr>
            <w:b/>
            <w:bCs/>
            <w:noProof/>
            <w:sz w:val="14"/>
            <w:szCs w:val="16"/>
          </w:rPr>
          <w:t>10</w:t>
        </w:r>
        <w:r w:rsidRPr="006930C8">
          <w:rPr>
            <w:b/>
            <w:bCs/>
            <w:sz w:val="14"/>
            <w:szCs w:val="16"/>
          </w:rPr>
          <w:fldChar w:fldCharType="end"/>
        </w:r>
        <w:r w:rsidRPr="005E4A4C">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0B034B" w:rsidRPr="00A34F4E" w:rsidRDefault="000B034B" w:rsidP="00A34F4E">
    <w:pPr>
      <w:pStyle w:val="Encabezado"/>
      <w:jc w:val="right"/>
      <w:rPr>
        <w:sz w:val="14"/>
        <w:szCs w:val="16"/>
      </w:rPr>
    </w:pPr>
    <w:r w:rsidRPr="005E4A4C">
      <w:rPr>
        <w:noProof/>
      </w:rPr>
      <w:pict>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3" o:title="escudo" gain="19661f" blacklevel="22938f"/>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CF1295"/>
    <w:multiLevelType w:val="hybridMultilevel"/>
    <w:tmpl w:val="0882DC6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44203B24"/>
    <w:multiLevelType w:val="hybridMultilevel"/>
    <w:tmpl w:val="34003208"/>
    <w:lvl w:ilvl="0" w:tplc="CE86A14C">
      <w:start w:val="1"/>
      <w:numFmt w:val="bullet"/>
      <w:lvlText w:val="•"/>
      <w:lvlJc w:val="left"/>
      <w:pPr>
        <w:tabs>
          <w:tab w:val="num" w:pos="720"/>
        </w:tabs>
        <w:ind w:left="720" w:hanging="360"/>
      </w:pPr>
      <w:rPr>
        <w:rFonts w:ascii="Times New Roman" w:hAnsi="Times New Roman" w:hint="default"/>
      </w:rPr>
    </w:lvl>
    <w:lvl w:ilvl="1" w:tplc="7D78C522" w:tentative="1">
      <w:start w:val="1"/>
      <w:numFmt w:val="bullet"/>
      <w:lvlText w:val="•"/>
      <w:lvlJc w:val="left"/>
      <w:pPr>
        <w:tabs>
          <w:tab w:val="num" w:pos="1440"/>
        </w:tabs>
        <w:ind w:left="1440" w:hanging="360"/>
      </w:pPr>
      <w:rPr>
        <w:rFonts w:ascii="Times New Roman" w:hAnsi="Times New Roman" w:hint="default"/>
      </w:rPr>
    </w:lvl>
    <w:lvl w:ilvl="2" w:tplc="5D668560" w:tentative="1">
      <w:start w:val="1"/>
      <w:numFmt w:val="bullet"/>
      <w:lvlText w:val="•"/>
      <w:lvlJc w:val="left"/>
      <w:pPr>
        <w:tabs>
          <w:tab w:val="num" w:pos="2160"/>
        </w:tabs>
        <w:ind w:left="2160" w:hanging="360"/>
      </w:pPr>
      <w:rPr>
        <w:rFonts w:ascii="Times New Roman" w:hAnsi="Times New Roman" w:hint="default"/>
      </w:rPr>
    </w:lvl>
    <w:lvl w:ilvl="3" w:tplc="4732CB54" w:tentative="1">
      <w:start w:val="1"/>
      <w:numFmt w:val="bullet"/>
      <w:lvlText w:val="•"/>
      <w:lvlJc w:val="left"/>
      <w:pPr>
        <w:tabs>
          <w:tab w:val="num" w:pos="2880"/>
        </w:tabs>
        <w:ind w:left="2880" w:hanging="360"/>
      </w:pPr>
      <w:rPr>
        <w:rFonts w:ascii="Times New Roman" w:hAnsi="Times New Roman" w:hint="default"/>
      </w:rPr>
    </w:lvl>
    <w:lvl w:ilvl="4" w:tplc="CAF47730" w:tentative="1">
      <w:start w:val="1"/>
      <w:numFmt w:val="bullet"/>
      <w:lvlText w:val="•"/>
      <w:lvlJc w:val="left"/>
      <w:pPr>
        <w:tabs>
          <w:tab w:val="num" w:pos="3600"/>
        </w:tabs>
        <w:ind w:left="3600" w:hanging="360"/>
      </w:pPr>
      <w:rPr>
        <w:rFonts w:ascii="Times New Roman" w:hAnsi="Times New Roman" w:hint="default"/>
      </w:rPr>
    </w:lvl>
    <w:lvl w:ilvl="5" w:tplc="12186CB8" w:tentative="1">
      <w:start w:val="1"/>
      <w:numFmt w:val="bullet"/>
      <w:lvlText w:val="•"/>
      <w:lvlJc w:val="left"/>
      <w:pPr>
        <w:tabs>
          <w:tab w:val="num" w:pos="4320"/>
        </w:tabs>
        <w:ind w:left="4320" w:hanging="360"/>
      </w:pPr>
      <w:rPr>
        <w:rFonts w:ascii="Times New Roman" w:hAnsi="Times New Roman" w:hint="default"/>
      </w:rPr>
    </w:lvl>
    <w:lvl w:ilvl="6" w:tplc="38F6B4EE" w:tentative="1">
      <w:start w:val="1"/>
      <w:numFmt w:val="bullet"/>
      <w:lvlText w:val="•"/>
      <w:lvlJc w:val="left"/>
      <w:pPr>
        <w:tabs>
          <w:tab w:val="num" w:pos="5040"/>
        </w:tabs>
        <w:ind w:left="5040" w:hanging="360"/>
      </w:pPr>
      <w:rPr>
        <w:rFonts w:ascii="Times New Roman" w:hAnsi="Times New Roman" w:hint="default"/>
      </w:rPr>
    </w:lvl>
    <w:lvl w:ilvl="7" w:tplc="93D82F00" w:tentative="1">
      <w:start w:val="1"/>
      <w:numFmt w:val="bullet"/>
      <w:lvlText w:val="•"/>
      <w:lvlJc w:val="left"/>
      <w:pPr>
        <w:tabs>
          <w:tab w:val="num" w:pos="5760"/>
        </w:tabs>
        <w:ind w:left="5760" w:hanging="360"/>
      </w:pPr>
      <w:rPr>
        <w:rFonts w:ascii="Times New Roman" w:hAnsi="Times New Roman" w:hint="default"/>
      </w:rPr>
    </w:lvl>
    <w:lvl w:ilvl="8" w:tplc="73B66D92" w:tentative="1">
      <w:start w:val="1"/>
      <w:numFmt w:val="bullet"/>
      <w:lvlText w:val="•"/>
      <w:lvlJc w:val="left"/>
      <w:pPr>
        <w:tabs>
          <w:tab w:val="num" w:pos="6480"/>
        </w:tabs>
        <w:ind w:left="6480" w:hanging="360"/>
      </w:pPr>
      <w:rPr>
        <w:rFonts w:ascii="Times New Roman" w:hAnsi="Times New Roman" w:hint="default"/>
      </w:rPr>
    </w:lvl>
  </w:abstractNum>
  <w:abstractNum w:abstractNumId="2">
    <w:nsid w:val="482E53F6"/>
    <w:multiLevelType w:val="hybridMultilevel"/>
    <w:tmpl w:val="9F8AFD1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n-US" w:vendorID="64" w:dllVersion="131078" w:nlCheck="1" w:checkStyle="1"/>
  <w:activeWritingStyle w:appName="MSWord" w:lang="es-ES_tradnl" w:vendorID="64" w:dllVersion="131078" w:nlCheck="1" w:checkStyle="1"/>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0"/>
    <w:footnote w:id="1"/>
  </w:footnotePr>
  <w:endnotePr>
    <w:endnote w:id="0"/>
    <w:endnote w:id="1"/>
  </w:endnotePr>
  <w:compat/>
  <w:rsids>
    <w:rsidRoot w:val="00F14D0D"/>
    <w:rsid w:val="00005BF8"/>
    <w:rsid w:val="00005D34"/>
    <w:rsid w:val="000228BC"/>
    <w:rsid w:val="00032DF8"/>
    <w:rsid w:val="00061113"/>
    <w:rsid w:val="000720B3"/>
    <w:rsid w:val="0009117E"/>
    <w:rsid w:val="000A1F3D"/>
    <w:rsid w:val="000B034B"/>
    <w:rsid w:val="000D4132"/>
    <w:rsid w:val="00141983"/>
    <w:rsid w:val="00163C23"/>
    <w:rsid w:val="00194D98"/>
    <w:rsid w:val="001C6852"/>
    <w:rsid w:val="001C71E1"/>
    <w:rsid w:val="001D6087"/>
    <w:rsid w:val="001F6D20"/>
    <w:rsid w:val="002369EC"/>
    <w:rsid w:val="00251442"/>
    <w:rsid w:val="00251825"/>
    <w:rsid w:val="002652B5"/>
    <w:rsid w:val="00265B89"/>
    <w:rsid w:val="00280851"/>
    <w:rsid w:val="002A18AF"/>
    <w:rsid w:val="002B1A55"/>
    <w:rsid w:val="002C3E46"/>
    <w:rsid w:val="00311E44"/>
    <w:rsid w:val="003357E7"/>
    <w:rsid w:val="00343306"/>
    <w:rsid w:val="0036247F"/>
    <w:rsid w:val="003715BD"/>
    <w:rsid w:val="00387219"/>
    <w:rsid w:val="003A22B3"/>
    <w:rsid w:val="003D2DF8"/>
    <w:rsid w:val="00403605"/>
    <w:rsid w:val="00484B6B"/>
    <w:rsid w:val="004A0718"/>
    <w:rsid w:val="004D6E9B"/>
    <w:rsid w:val="004F1944"/>
    <w:rsid w:val="005077E7"/>
    <w:rsid w:val="00515B61"/>
    <w:rsid w:val="00535D0F"/>
    <w:rsid w:val="0058167B"/>
    <w:rsid w:val="00582B5F"/>
    <w:rsid w:val="00583222"/>
    <w:rsid w:val="00591398"/>
    <w:rsid w:val="005C6AF4"/>
    <w:rsid w:val="005D3A79"/>
    <w:rsid w:val="005D7AC3"/>
    <w:rsid w:val="005E4A4C"/>
    <w:rsid w:val="006021B7"/>
    <w:rsid w:val="0061319F"/>
    <w:rsid w:val="00617F7C"/>
    <w:rsid w:val="00642463"/>
    <w:rsid w:val="0067092C"/>
    <w:rsid w:val="00676308"/>
    <w:rsid w:val="006930C8"/>
    <w:rsid w:val="00694B49"/>
    <w:rsid w:val="006E3336"/>
    <w:rsid w:val="006F0291"/>
    <w:rsid w:val="006F4699"/>
    <w:rsid w:val="007002B4"/>
    <w:rsid w:val="00712F55"/>
    <w:rsid w:val="00737531"/>
    <w:rsid w:val="0076408E"/>
    <w:rsid w:val="00767012"/>
    <w:rsid w:val="0076758C"/>
    <w:rsid w:val="00794EE7"/>
    <w:rsid w:val="007E1E78"/>
    <w:rsid w:val="00807F9C"/>
    <w:rsid w:val="008C1647"/>
    <w:rsid w:val="008D2ED2"/>
    <w:rsid w:val="008D47D0"/>
    <w:rsid w:val="008D6920"/>
    <w:rsid w:val="008E4A8C"/>
    <w:rsid w:val="009038BA"/>
    <w:rsid w:val="00922517"/>
    <w:rsid w:val="00924CCC"/>
    <w:rsid w:val="00944309"/>
    <w:rsid w:val="0099314B"/>
    <w:rsid w:val="009974C6"/>
    <w:rsid w:val="009C1711"/>
    <w:rsid w:val="009D2CE3"/>
    <w:rsid w:val="009F368A"/>
    <w:rsid w:val="00A04BC7"/>
    <w:rsid w:val="00A3193C"/>
    <w:rsid w:val="00A34F4E"/>
    <w:rsid w:val="00A512B6"/>
    <w:rsid w:val="00AC47BF"/>
    <w:rsid w:val="00B00682"/>
    <w:rsid w:val="00B2385F"/>
    <w:rsid w:val="00B35FB6"/>
    <w:rsid w:val="00B6632E"/>
    <w:rsid w:val="00B66D74"/>
    <w:rsid w:val="00B705C7"/>
    <w:rsid w:val="00B82275"/>
    <w:rsid w:val="00BB19D9"/>
    <w:rsid w:val="00BB1DE8"/>
    <w:rsid w:val="00BC46C1"/>
    <w:rsid w:val="00C15915"/>
    <w:rsid w:val="00C17434"/>
    <w:rsid w:val="00C36C37"/>
    <w:rsid w:val="00C4364A"/>
    <w:rsid w:val="00C46EE5"/>
    <w:rsid w:val="00C5405E"/>
    <w:rsid w:val="00C56F5E"/>
    <w:rsid w:val="00C57E95"/>
    <w:rsid w:val="00C65B97"/>
    <w:rsid w:val="00C7499F"/>
    <w:rsid w:val="00CB03E7"/>
    <w:rsid w:val="00CB1DDB"/>
    <w:rsid w:val="00CC77C3"/>
    <w:rsid w:val="00D05F45"/>
    <w:rsid w:val="00D11105"/>
    <w:rsid w:val="00D2386B"/>
    <w:rsid w:val="00D24C52"/>
    <w:rsid w:val="00D540AA"/>
    <w:rsid w:val="00DB4CDE"/>
    <w:rsid w:val="00DC124D"/>
    <w:rsid w:val="00DD3EF8"/>
    <w:rsid w:val="00DE419F"/>
    <w:rsid w:val="00E034DF"/>
    <w:rsid w:val="00E41954"/>
    <w:rsid w:val="00E55B73"/>
    <w:rsid w:val="00E6008D"/>
    <w:rsid w:val="00E65262"/>
    <w:rsid w:val="00E75BAD"/>
    <w:rsid w:val="00E762C6"/>
    <w:rsid w:val="00EA042A"/>
    <w:rsid w:val="00EA5619"/>
    <w:rsid w:val="00EC5323"/>
    <w:rsid w:val="00ED1717"/>
    <w:rsid w:val="00EE5857"/>
    <w:rsid w:val="00F14D0D"/>
    <w:rsid w:val="00F243E8"/>
    <w:rsid w:val="00F34710"/>
    <w:rsid w:val="00F55938"/>
    <w:rsid w:val="00FA5249"/>
    <w:rsid w:val="00FA5A84"/>
    <w:rsid w:val="00FB33BC"/>
    <w:rsid w:val="00FC2DA2"/>
    <w:rsid w:val="00FE4D3A"/>
    <w:rsid w:val="00FF157E"/>
    <w:rsid w:val="00FF231C"/>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customStyle="1" w:styleId="m5874095947225310608gmail-normal1">
    <w:name w:val="m_5874095947225310608gmail-normal1"/>
    <w:basedOn w:val="Normal"/>
    <w:rsid w:val="00B82275"/>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Bibliografa">
    <w:name w:val="Bibliography"/>
    <w:basedOn w:val="Normal"/>
    <w:next w:val="Normal"/>
    <w:uiPriority w:val="37"/>
    <w:unhideWhenUsed/>
    <w:rsid w:val="00163C23"/>
  </w:style>
</w:styles>
</file>

<file path=word/webSettings.xml><?xml version="1.0" encoding="utf-8"?>
<w:webSettings xmlns:r="http://schemas.openxmlformats.org/officeDocument/2006/relationships" xmlns:w="http://schemas.openxmlformats.org/wordprocessingml/2006/main">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479110" TargetMode="External"/><Relationship Id="rId13" Type="http://schemas.openxmlformats.org/officeDocument/2006/relationships/hyperlink" Target="https://scholar.google.es/citations?user=kRtWe3oAAAAJ&amp;hl=es&amp;oi=ao"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orcid.org/0000-0003-4719-3033"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scholar.google.es/citations?user=atrZHX0AAAAJ&amp;hl=es"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0655074" TargetMode="External"/><Relationship Id="rId5" Type="http://schemas.openxmlformats.org/officeDocument/2006/relationships/webSettings" Target="webSettings.xml"/><Relationship Id="rId15" Type="http://schemas.openxmlformats.org/officeDocument/2006/relationships/hyperlink" Target="https://orcid.org/0000-0003-2544-9034" TargetMode="External"/><Relationship Id="rId23" Type="http://schemas.openxmlformats.org/officeDocument/2006/relationships/theme" Target="theme/theme1.xml"/><Relationship Id="rId10" Type="http://schemas.openxmlformats.org/officeDocument/2006/relationships/hyperlink" Target="https://scholar.google.es/citations?hl=es&amp;user=RpKLCrsAAAAJ"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orcid.org/0000-0002-1171-7926" TargetMode="External"/><Relationship Id="rId14" Type="http://schemas.openxmlformats.org/officeDocument/2006/relationships/hyperlink" Target="http://scienti.colciencias.gov.co:8081/cvlac/visualizador/generarCurriculoCv.do?cod_rh=0000547557"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30C80F-7AD4-44E6-A743-A6114A67C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10</Pages>
  <Words>3619</Words>
  <Characters>19907</Characters>
  <Application>Microsoft Office Word</Application>
  <DocSecurity>0</DocSecurity>
  <Lines>165</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23480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SecAdmisiones</cp:lastModifiedBy>
  <cp:revision>17</cp:revision>
  <cp:lastPrinted>2019-05-21T14:57:00Z</cp:lastPrinted>
  <dcterms:created xsi:type="dcterms:W3CDTF">2019-08-06T19:20:00Z</dcterms:created>
  <dcterms:modified xsi:type="dcterms:W3CDTF">2019-08-09T23:04:00Z</dcterms:modified>
</cp:coreProperties>
</file>