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ADB" w:rsidRPr="00ED114E" w:rsidRDefault="00817ADB" w:rsidP="00ED114E">
      <w:pPr>
        <w:spacing w:after="0"/>
        <w:rPr>
          <w:sz w:val="24"/>
          <w:szCs w:val="24"/>
        </w:rPr>
      </w:pPr>
    </w:p>
    <w:p w:rsidR="00817ADB" w:rsidRPr="00ED114E" w:rsidRDefault="00CE4CAE" w:rsidP="00ED114E">
      <w:pPr>
        <w:spacing w:after="0"/>
        <w:rPr>
          <w:b/>
          <w:sz w:val="24"/>
          <w:szCs w:val="24"/>
        </w:rPr>
      </w:pPr>
      <w:r w:rsidRPr="00ED114E">
        <w:rPr>
          <w:b/>
          <w:sz w:val="24"/>
          <w:szCs w:val="24"/>
        </w:rPr>
        <w:t>Título</w:t>
      </w:r>
    </w:p>
    <w:p w:rsidR="00817ADB" w:rsidRPr="00ED114E" w:rsidRDefault="006106CF" w:rsidP="00ED114E">
      <w:pPr>
        <w:spacing w:after="0"/>
        <w:rPr>
          <w:sz w:val="24"/>
          <w:szCs w:val="24"/>
        </w:rPr>
      </w:pPr>
      <w:r w:rsidRPr="00ED114E">
        <w:rPr>
          <w:sz w:val="24"/>
          <w:szCs w:val="24"/>
        </w:rPr>
        <w:t xml:space="preserve">Competencias ciudadanas para la resolución de conflictos en niños de grado cero: elaboración e implementación de una estrategia de trabajo en una escuela pública de Bogotá. </w:t>
      </w:r>
      <w:r w:rsidR="002D4CBC" w:rsidRPr="00ED114E">
        <w:rPr>
          <w:rStyle w:val="Refdenotaalpie"/>
          <w:sz w:val="24"/>
          <w:szCs w:val="24"/>
        </w:rPr>
        <w:footnoteReference w:id="1"/>
      </w:r>
    </w:p>
    <w:p w:rsidR="00817ADB" w:rsidRPr="00ED114E" w:rsidRDefault="00817ADB" w:rsidP="00ED114E">
      <w:pPr>
        <w:spacing w:after="0"/>
        <w:rPr>
          <w:sz w:val="24"/>
          <w:szCs w:val="24"/>
        </w:rPr>
      </w:pPr>
    </w:p>
    <w:p w:rsidR="00817ADB" w:rsidRPr="00ED114E" w:rsidRDefault="00817ADB" w:rsidP="00ED114E">
      <w:pPr>
        <w:spacing w:after="0"/>
        <w:rPr>
          <w:b/>
          <w:sz w:val="24"/>
          <w:szCs w:val="24"/>
        </w:rPr>
      </w:pPr>
      <w:r w:rsidRPr="00ED114E">
        <w:rPr>
          <w:b/>
          <w:sz w:val="24"/>
          <w:szCs w:val="24"/>
        </w:rPr>
        <w:t>Nombre de autor</w:t>
      </w:r>
    </w:p>
    <w:p w:rsidR="00817ADB" w:rsidRPr="00ED114E" w:rsidRDefault="00817ADB" w:rsidP="00ED114E">
      <w:pPr>
        <w:spacing w:after="0"/>
        <w:rPr>
          <w:sz w:val="24"/>
          <w:szCs w:val="24"/>
        </w:rPr>
      </w:pPr>
    </w:p>
    <w:p w:rsidR="00817ADB" w:rsidRPr="00ED114E" w:rsidRDefault="00CE4CAE" w:rsidP="00ED114E">
      <w:pPr>
        <w:spacing w:after="0"/>
        <w:rPr>
          <w:sz w:val="24"/>
          <w:szCs w:val="24"/>
        </w:rPr>
      </w:pPr>
      <w:r w:rsidRPr="00ED114E">
        <w:rPr>
          <w:sz w:val="24"/>
          <w:szCs w:val="24"/>
        </w:rPr>
        <w:t xml:space="preserve">Claudia </w:t>
      </w:r>
      <w:proofErr w:type="spellStart"/>
      <w:r w:rsidRPr="00ED114E">
        <w:rPr>
          <w:sz w:val="24"/>
          <w:szCs w:val="24"/>
        </w:rPr>
        <w:t>Charry</w:t>
      </w:r>
      <w:proofErr w:type="spellEnd"/>
      <w:r w:rsidR="002D4CBC" w:rsidRPr="00ED114E">
        <w:rPr>
          <w:rStyle w:val="Refdenotaalpie"/>
          <w:sz w:val="24"/>
          <w:szCs w:val="24"/>
        </w:rPr>
        <w:footnoteReference w:id="2"/>
      </w:r>
    </w:p>
    <w:p w:rsidR="00541AE2" w:rsidRPr="00ED114E" w:rsidRDefault="00541AE2" w:rsidP="00ED114E">
      <w:pPr>
        <w:spacing w:after="0"/>
        <w:rPr>
          <w:sz w:val="24"/>
          <w:szCs w:val="24"/>
        </w:rPr>
      </w:pPr>
    </w:p>
    <w:p w:rsidR="00817ADB" w:rsidRPr="00ED114E" w:rsidRDefault="00817ADB" w:rsidP="00ED114E">
      <w:pPr>
        <w:spacing w:after="0"/>
        <w:rPr>
          <w:b/>
          <w:sz w:val="24"/>
          <w:szCs w:val="24"/>
        </w:rPr>
      </w:pPr>
      <w:r w:rsidRPr="00ED114E">
        <w:rPr>
          <w:b/>
          <w:sz w:val="24"/>
          <w:szCs w:val="24"/>
        </w:rPr>
        <w:t xml:space="preserve">Resumen </w:t>
      </w:r>
    </w:p>
    <w:p w:rsidR="006106CF" w:rsidRPr="00ED114E" w:rsidRDefault="00AD564C" w:rsidP="00ED114E">
      <w:pPr>
        <w:jc w:val="both"/>
        <w:rPr>
          <w:sz w:val="24"/>
          <w:szCs w:val="24"/>
        </w:rPr>
      </w:pPr>
      <w:r w:rsidRPr="00ED114E">
        <w:rPr>
          <w:sz w:val="24"/>
          <w:szCs w:val="24"/>
        </w:rPr>
        <w:t xml:space="preserve">El fenómeno de la violencia en nuestro país se manifiesta de diferentes formas y en muy diversos contextos. La importancia de trabajar en una prevención temprana de la violencia ha sido resaltada por varios autores, pues los efectos que pueden lograrse interviniendo a edades cada vez más tempranas son prometedores. </w:t>
      </w:r>
      <w:r w:rsidR="00FC620D" w:rsidRPr="00ED114E">
        <w:rPr>
          <w:sz w:val="24"/>
          <w:szCs w:val="24"/>
        </w:rPr>
        <w:t xml:space="preserve">Una de las aproximaciones en este sentido lo constituye el programa colombiano de competencias ciudadanas liderado por el Ministerio de Educación, en cuyos estándares se consideran las competencias de tipo cognitivo, </w:t>
      </w:r>
      <w:r w:rsidR="00C07775" w:rsidRPr="00ED114E">
        <w:rPr>
          <w:sz w:val="24"/>
          <w:szCs w:val="24"/>
        </w:rPr>
        <w:t>emocional, comunicativo e integrador, organizadas en tres grandes grupos: convivencia y paz, participación y responsabilidad democrática, y pluralidad, identidad y valoración de las diferencias.</w:t>
      </w:r>
      <w:r w:rsidR="00FC620D" w:rsidRPr="00ED114E">
        <w:rPr>
          <w:sz w:val="24"/>
          <w:szCs w:val="24"/>
        </w:rPr>
        <w:t xml:space="preserve"> </w:t>
      </w:r>
      <w:r w:rsidR="006106CF" w:rsidRPr="00ED114E">
        <w:rPr>
          <w:sz w:val="24"/>
          <w:szCs w:val="24"/>
        </w:rPr>
        <w:t xml:space="preserve">El objetivo de la presente propuesta consiste en </w:t>
      </w:r>
      <w:r w:rsidR="00D57883" w:rsidRPr="00ED114E">
        <w:rPr>
          <w:sz w:val="24"/>
          <w:szCs w:val="24"/>
        </w:rPr>
        <w:t>elaborar e implementar una estrat</w:t>
      </w:r>
      <w:r w:rsidR="008F4689" w:rsidRPr="00ED114E">
        <w:rPr>
          <w:sz w:val="24"/>
          <w:szCs w:val="24"/>
        </w:rPr>
        <w:t xml:space="preserve">egia </w:t>
      </w:r>
      <w:r w:rsidR="00126BC2" w:rsidRPr="00ED114E">
        <w:rPr>
          <w:sz w:val="24"/>
          <w:szCs w:val="24"/>
        </w:rPr>
        <w:t>d</w:t>
      </w:r>
      <w:r w:rsidR="008F4689" w:rsidRPr="00ED114E">
        <w:rPr>
          <w:sz w:val="24"/>
          <w:szCs w:val="24"/>
        </w:rPr>
        <w:t>irigida a niños de grado cero</w:t>
      </w:r>
      <w:r w:rsidR="00D57883" w:rsidRPr="00ED114E">
        <w:rPr>
          <w:sz w:val="24"/>
          <w:szCs w:val="24"/>
        </w:rPr>
        <w:t xml:space="preserve">, con el fin de </w:t>
      </w:r>
      <w:r w:rsidRPr="00ED114E">
        <w:rPr>
          <w:sz w:val="24"/>
          <w:szCs w:val="24"/>
        </w:rPr>
        <w:t>trabajar</w:t>
      </w:r>
      <w:r w:rsidR="00D57883" w:rsidRPr="00ED114E">
        <w:rPr>
          <w:sz w:val="24"/>
          <w:szCs w:val="24"/>
        </w:rPr>
        <w:t xml:space="preserve"> las competencias ciudadanas</w:t>
      </w:r>
      <w:r w:rsidR="0002012E" w:rsidRPr="00ED114E">
        <w:rPr>
          <w:sz w:val="24"/>
          <w:szCs w:val="24"/>
        </w:rPr>
        <w:t xml:space="preserve"> que contribuyen</w:t>
      </w:r>
      <w:r w:rsidRPr="00ED114E">
        <w:rPr>
          <w:sz w:val="24"/>
          <w:szCs w:val="24"/>
        </w:rPr>
        <w:t xml:space="preserve"> </w:t>
      </w:r>
      <w:r w:rsidR="0002012E" w:rsidRPr="00ED114E">
        <w:rPr>
          <w:sz w:val="24"/>
          <w:szCs w:val="24"/>
        </w:rPr>
        <w:t>a</w:t>
      </w:r>
      <w:r w:rsidR="00D57883" w:rsidRPr="00ED114E">
        <w:rPr>
          <w:sz w:val="24"/>
          <w:szCs w:val="24"/>
        </w:rPr>
        <w:t>l manejo efectivo de los conflictos</w:t>
      </w:r>
      <w:r w:rsidR="00C07775" w:rsidRPr="00ED114E">
        <w:rPr>
          <w:sz w:val="24"/>
          <w:szCs w:val="24"/>
        </w:rPr>
        <w:t>, específicamente</w:t>
      </w:r>
      <w:r w:rsidR="001A1A2F" w:rsidRPr="00ED114E">
        <w:rPr>
          <w:sz w:val="24"/>
          <w:szCs w:val="24"/>
        </w:rPr>
        <w:t xml:space="preserve"> </w:t>
      </w:r>
      <w:r w:rsidR="00D20039" w:rsidRPr="00ED114E">
        <w:rPr>
          <w:sz w:val="24"/>
          <w:szCs w:val="24"/>
        </w:rPr>
        <w:t>empatía, toma de perspectiva, manejo de la ira, consideración de consecuencias, escucha acti</w:t>
      </w:r>
      <w:r w:rsidR="001A1A2F" w:rsidRPr="00ED114E">
        <w:rPr>
          <w:sz w:val="24"/>
          <w:szCs w:val="24"/>
        </w:rPr>
        <w:t>va y</w:t>
      </w:r>
      <w:r w:rsidR="00D20039" w:rsidRPr="00ED114E">
        <w:rPr>
          <w:sz w:val="24"/>
          <w:szCs w:val="24"/>
        </w:rPr>
        <w:t xml:space="preserve"> generación de opciones</w:t>
      </w:r>
      <w:r w:rsidR="00D57883" w:rsidRPr="00ED114E">
        <w:rPr>
          <w:sz w:val="24"/>
          <w:szCs w:val="24"/>
        </w:rPr>
        <w:t xml:space="preserve">. </w:t>
      </w:r>
      <w:r w:rsidR="008F4689" w:rsidRPr="00ED114E">
        <w:rPr>
          <w:sz w:val="24"/>
          <w:szCs w:val="24"/>
        </w:rPr>
        <w:t xml:space="preserve">Dicha estrategia </w:t>
      </w:r>
      <w:r w:rsidRPr="00ED114E">
        <w:rPr>
          <w:sz w:val="24"/>
          <w:szCs w:val="24"/>
        </w:rPr>
        <w:t xml:space="preserve">pretende contar con </w:t>
      </w:r>
      <w:r w:rsidR="008F4689" w:rsidRPr="00ED114E">
        <w:rPr>
          <w:sz w:val="24"/>
          <w:szCs w:val="24"/>
        </w:rPr>
        <w:t>l</w:t>
      </w:r>
      <w:r w:rsidR="0002012E" w:rsidRPr="00ED114E">
        <w:rPr>
          <w:sz w:val="24"/>
          <w:szCs w:val="24"/>
        </w:rPr>
        <w:t>a</w:t>
      </w:r>
      <w:r w:rsidR="008F4689" w:rsidRPr="00ED114E">
        <w:rPr>
          <w:sz w:val="24"/>
          <w:szCs w:val="24"/>
        </w:rPr>
        <w:t xml:space="preserve"> participación de</w:t>
      </w:r>
      <w:r w:rsidR="0002012E" w:rsidRPr="00ED114E">
        <w:rPr>
          <w:sz w:val="24"/>
          <w:szCs w:val="24"/>
        </w:rPr>
        <w:t xml:space="preserve"> pa</w:t>
      </w:r>
      <w:r w:rsidR="008F4689" w:rsidRPr="00ED114E">
        <w:rPr>
          <w:sz w:val="24"/>
          <w:szCs w:val="24"/>
        </w:rPr>
        <w:t>dres y maestros.</w:t>
      </w:r>
      <w:r w:rsidRPr="00ED114E">
        <w:rPr>
          <w:sz w:val="24"/>
          <w:szCs w:val="24"/>
        </w:rPr>
        <w:t xml:space="preserve"> </w:t>
      </w:r>
      <w:r w:rsidR="00421F68" w:rsidRPr="00ED114E">
        <w:rPr>
          <w:sz w:val="24"/>
          <w:szCs w:val="24"/>
        </w:rPr>
        <w:t>Para la realización de dicha propuesta, se realizará una primera fase de observación y evaluación en varias escuelas de la ciudad de Bogotá. En esta fase se pretende obtener una descripción aproximada de las estrategias que utilizan los niños para resolver los conflictos, la frecuencia y características de los conflictos que se presentan entre ellos y las herramientas que utilizan los docentes y padres de familia para afrontar dichas situaciones</w:t>
      </w:r>
      <w:r w:rsidR="006106CF" w:rsidRPr="00ED114E">
        <w:rPr>
          <w:sz w:val="24"/>
          <w:szCs w:val="24"/>
        </w:rPr>
        <w:t>. La segunda fase comprende la elaboración, implementación y evaluación de una propuesta de trabajo, que involucrará la participación de docentes, alumnos y padres de familia en cada una de estas actividades. Finalmente, en la última etapa, se propo</w:t>
      </w:r>
      <w:r w:rsidR="001A1A2F" w:rsidRPr="00ED114E">
        <w:rPr>
          <w:sz w:val="24"/>
          <w:szCs w:val="24"/>
        </w:rPr>
        <w:t>ne que la comunidad educativa pueda dar</w:t>
      </w:r>
      <w:r w:rsidR="006106CF" w:rsidRPr="00ED114E">
        <w:rPr>
          <w:sz w:val="24"/>
          <w:szCs w:val="24"/>
        </w:rPr>
        <w:t xml:space="preserve"> continuidad a la aplicación de la propuesta, contando con el respectivo acompañamiento y asesoría de la investigadora encargada. Para llevar a cabo esta propuesta se realizarán entrevistas </w:t>
      </w:r>
      <w:proofErr w:type="spellStart"/>
      <w:r w:rsidR="006106CF" w:rsidRPr="00ED114E">
        <w:rPr>
          <w:sz w:val="24"/>
          <w:szCs w:val="24"/>
        </w:rPr>
        <w:t>semi</w:t>
      </w:r>
      <w:proofErr w:type="spellEnd"/>
      <w:r w:rsidR="006106CF" w:rsidRPr="00ED114E">
        <w:rPr>
          <w:sz w:val="24"/>
          <w:szCs w:val="24"/>
        </w:rPr>
        <w:t xml:space="preserve">-estructuradas, registros de observaciones, </w:t>
      </w:r>
      <w:r w:rsidR="001A1A2F" w:rsidRPr="00ED114E">
        <w:rPr>
          <w:sz w:val="24"/>
          <w:szCs w:val="24"/>
        </w:rPr>
        <w:t>evaluación formativa</w:t>
      </w:r>
      <w:r w:rsidR="006106CF" w:rsidRPr="00ED114E">
        <w:rPr>
          <w:sz w:val="24"/>
          <w:szCs w:val="24"/>
        </w:rPr>
        <w:t xml:space="preserve">, y se elaborará todo el material necesario para el trabajo con la comunidad educativa (guías, casos, talleres). Se espera que, al final de este proceso, </w:t>
      </w:r>
      <w:r w:rsidR="00421F68" w:rsidRPr="00ED114E">
        <w:rPr>
          <w:sz w:val="24"/>
          <w:szCs w:val="24"/>
        </w:rPr>
        <w:t xml:space="preserve">se pueda contar con una propuesta </w:t>
      </w:r>
      <w:r w:rsidR="006106CF" w:rsidRPr="00ED114E">
        <w:rPr>
          <w:sz w:val="24"/>
          <w:szCs w:val="24"/>
        </w:rPr>
        <w:t>que le permita</w:t>
      </w:r>
      <w:r w:rsidR="00D23680" w:rsidRPr="00ED114E">
        <w:rPr>
          <w:sz w:val="24"/>
          <w:szCs w:val="24"/>
        </w:rPr>
        <w:t xml:space="preserve"> a la escuela</w:t>
      </w:r>
      <w:r w:rsidR="006106CF" w:rsidRPr="00ED114E">
        <w:rPr>
          <w:sz w:val="24"/>
          <w:szCs w:val="24"/>
        </w:rPr>
        <w:t xml:space="preserve"> impactar aún más el proceso de formación de los niños como agentes de cambio de la sociedad</w:t>
      </w:r>
      <w:r w:rsidR="00D23680" w:rsidRPr="00ED114E">
        <w:rPr>
          <w:sz w:val="24"/>
          <w:szCs w:val="24"/>
        </w:rPr>
        <w:t xml:space="preserve">, específicamente </w:t>
      </w:r>
      <w:r w:rsidR="001A1A2F" w:rsidRPr="00ED114E">
        <w:rPr>
          <w:sz w:val="24"/>
          <w:szCs w:val="24"/>
        </w:rPr>
        <w:t>contribuyendo al desarrollo de competencias que le permitan al niño una mejor convivencia</w:t>
      </w:r>
      <w:r w:rsidR="006106CF" w:rsidRPr="00ED114E">
        <w:rPr>
          <w:sz w:val="24"/>
          <w:szCs w:val="24"/>
        </w:rPr>
        <w:t>.</w:t>
      </w:r>
    </w:p>
    <w:p w:rsidR="00817ADB" w:rsidRPr="00ED114E" w:rsidRDefault="00817ADB" w:rsidP="00ED114E">
      <w:pPr>
        <w:spacing w:after="0"/>
        <w:rPr>
          <w:sz w:val="24"/>
          <w:szCs w:val="24"/>
        </w:rPr>
      </w:pPr>
      <w:r w:rsidRPr="00ED114E">
        <w:rPr>
          <w:sz w:val="24"/>
          <w:szCs w:val="24"/>
        </w:rPr>
        <w:t>Palabras clave</w:t>
      </w:r>
      <w:r w:rsidR="00C64B1B" w:rsidRPr="00ED114E">
        <w:rPr>
          <w:sz w:val="24"/>
          <w:szCs w:val="24"/>
        </w:rPr>
        <w:t>: competencias ciudadanas, grado cero, escuela.</w:t>
      </w:r>
    </w:p>
    <w:p w:rsidR="00817ADB" w:rsidRPr="00ED114E" w:rsidRDefault="00817ADB" w:rsidP="00ED114E">
      <w:pPr>
        <w:spacing w:after="0"/>
        <w:rPr>
          <w:sz w:val="24"/>
          <w:szCs w:val="24"/>
        </w:rPr>
      </w:pPr>
    </w:p>
    <w:p w:rsidR="00817ADB" w:rsidRPr="00ED114E" w:rsidRDefault="00817ADB" w:rsidP="00ED114E">
      <w:pPr>
        <w:spacing w:after="0"/>
        <w:rPr>
          <w:sz w:val="24"/>
          <w:szCs w:val="24"/>
        </w:rPr>
      </w:pPr>
    </w:p>
    <w:p w:rsidR="00817ADB" w:rsidRPr="00ED114E" w:rsidRDefault="00817ADB" w:rsidP="00ED114E">
      <w:pPr>
        <w:spacing w:after="0"/>
        <w:rPr>
          <w:b/>
          <w:sz w:val="24"/>
          <w:szCs w:val="24"/>
        </w:rPr>
      </w:pPr>
      <w:r w:rsidRPr="00ED114E">
        <w:rPr>
          <w:b/>
          <w:sz w:val="24"/>
          <w:szCs w:val="24"/>
        </w:rPr>
        <w:t>Introducción</w:t>
      </w:r>
    </w:p>
    <w:p w:rsidR="006922A8" w:rsidRPr="00ED114E" w:rsidRDefault="006922A8" w:rsidP="00ED114E">
      <w:pPr>
        <w:spacing w:after="0"/>
        <w:rPr>
          <w:b/>
          <w:sz w:val="24"/>
          <w:szCs w:val="24"/>
        </w:rPr>
      </w:pPr>
    </w:p>
    <w:p w:rsidR="006922A8" w:rsidRPr="00ED114E" w:rsidRDefault="006922A8" w:rsidP="00ED114E">
      <w:pPr>
        <w:widowControl w:val="0"/>
        <w:jc w:val="both"/>
        <w:rPr>
          <w:b/>
          <w:bCs/>
          <w:sz w:val="24"/>
          <w:szCs w:val="24"/>
        </w:rPr>
      </w:pPr>
      <w:r w:rsidRPr="00ED114E">
        <w:rPr>
          <w:sz w:val="24"/>
          <w:szCs w:val="24"/>
        </w:rPr>
        <w:t xml:space="preserve">El momento actual que vive nuestro país demanda de manera urgente el desarrollo de competencias que contribuyan a fortalecer la convivencia pacífica, la solución negociada de conflictos y la participación activa de su ciudadanía. En ese trabajo, los niños constituyen un foco importante, pues además de ser determinantes en el futuro de nuestra sociedad, también son puntos de convergencia para el trabajo conjunto de la comunidad, la escuela y el estado. Las directrices elaboradas por el Ministerio de Educación Nacional para el desarrollo de competencias ciudadanas a partir del trabajo en la escuela, reafirman la importancia de esta labor y el deber que todos tenemos de contribuir desde la posición en la cual nos encontremos. En este sentido la universidad tiene mucho que aportar, pues el conocimiento sistemático articulado a las políticas públicas y a las prácticas educativas incrementa la probabilidad de alcanzar las metas propuestas y constituye una de las mejores oportunidades de cumplir con la responsabilidad social que tiene la academia. </w:t>
      </w:r>
      <w:r w:rsidRPr="00ED114E">
        <w:rPr>
          <w:sz w:val="24"/>
          <w:szCs w:val="24"/>
        </w:rPr>
        <w:t>Uno de los aportes de</w:t>
      </w:r>
      <w:r w:rsidRPr="00ED114E">
        <w:rPr>
          <w:sz w:val="24"/>
          <w:szCs w:val="24"/>
        </w:rPr>
        <w:t xml:space="preserve">l presente proyecto </w:t>
      </w:r>
      <w:r w:rsidRPr="00ED114E">
        <w:rPr>
          <w:sz w:val="24"/>
          <w:szCs w:val="24"/>
        </w:rPr>
        <w:t>consiste</w:t>
      </w:r>
      <w:r w:rsidRPr="00ED114E">
        <w:rPr>
          <w:sz w:val="24"/>
          <w:szCs w:val="24"/>
        </w:rPr>
        <w:t xml:space="preserve"> en brindar una retroalimentación sobre el impacto que están teniendo las políticas públicas de educación, y plantear la estructuración de una propuesta de trabajo específica para potencializar el desarrollo de las competencias ciudadanas y, junto con ellas, del empoderamiento infantil.</w:t>
      </w:r>
    </w:p>
    <w:p w:rsidR="006922A8" w:rsidRPr="00ED114E" w:rsidRDefault="006922A8" w:rsidP="00ED114E">
      <w:pPr>
        <w:jc w:val="both"/>
        <w:rPr>
          <w:sz w:val="24"/>
          <w:szCs w:val="24"/>
        </w:rPr>
      </w:pPr>
      <w:r w:rsidRPr="00ED114E">
        <w:rPr>
          <w:sz w:val="24"/>
          <w:szCs w:val="24"/>
        </w:rPr>
        <w:t xml:space="preserve">Los procesos de empoderamiento involucran una participación activa, crítica y creativa que se traduzca en el implementación de cambios positivos que mejoren </w:t>
      </w:r>
      <w:proofErr w:type="gramStart"/>
      <w:r w:rsidRPr="00ED114E">
        <w:rPr>
          <w:sz w:val="24"/>
          <w:szCs w:val="24"/>
        </w:rPr>
        <w:t>la condiciones</w:t>
      </w:r>
      <w:proofErr w:type="gramEnd"/>
      <w:r w:rsidRPr="00ED114E">
        <w:rPr>
          <w:sz w:val="24"/>
          <w:szCs w:val="24"/>
        </w:rPr>
        <w:t xml:space="preserve"> de vida de los individuos. Dicha participación requiere el desarrollo de múltiples habilidades, las cuales constituyen una “caja de herramientas” que hacen viable el aporte significativo de los individuos a la sociedad. Cuando hablamos de hacer viable la participación de nuestros niños, son múltiples las habilidades que deben desarrollarse para alcanzar este objetivo. La OMS reunió diez de ellas en su propuesta “Habilidades para la Vida” (OMS, 1997): autoconocimiento, empatía, comunicación asertiva, relaciones interpersonales, toma de decisiones, manejo de problemas y conflictos, pensamiento creativo, pensamiento crítico, manejo de emociones y sentimientos, y manejo de tensiones y estrés. Esta propuesta ha sido acogida por diferentes organizaciones nacionales e internacionales, aunque, como es de esperarse, no es la única y cuenta con puntos de intersección con otras iniciativas. El plan para el Desarrollo de las Estrategias de Entornos Saludables – Escuela Saludable y Vivienda Saludable - (Ministerio de Protección Social, 2006), realizado en conjunto por la Organización Panamericana de la Salud, el Ministerio de Protección Social, el Ministerio de Ambiente, Vivienda y Desarrollo Territorial y el MEN, incluye en sus componentes el desarrollo de ambientes psicosociales saludables en la escuela, así como el empoderamiento y la participación social. Por otro lado, la propuesta de Competencias Ciudadanas, presentada por el MEN plantea tres grandes grupos de competencias: convivencia y paz, participación y responsabilidad democrática, y pluralidad, identidad y valoración de las diferencias. Así mismo, identifica competencias cognitivas, emocionales, comunicativas e integradoras. Las propuestas son múltiples, y una buena parte de ellas toma como centro de trabajo la escuela. En nuestro país, el trabajo en competencias ciudadanas hace parte de la política sectorial 2010-2014 del MEN, y cada escuela tiene autonomía para adoptar la estrategia que mejor se ajuste a sus necesidades y que le permita alcanzar las metas trazadas desde el MEN. Esto permite el trazado de múltiples caminos para alcanzar la misma meta. En medio de esta diversidad, existen grupos de herramientas pedagógicas que pueden ser útiles para diferentes perfiles de escuela (</w:t>
      </w:r>
      <w:proofErr w:type="spellStart"/>
      <w:r w:rsidRPr="00ED114E">
        <w:rPr>
          <w:sz w:val="24"/>
          <w:szCs w:val="24"/>
        </w:rPr>
        <w:t>Chaux</w:t>
      </w:r>
      <w:proofErr w:type="spellEnd"/>
      <w:r w:rsidRPr="00ED114E">
        <w:rPr>
          <w:sz w:val="24"/>
          <w:szCs w:val="24"/>
        </w:rPr>
        <w:t xml:space="preserve">, Lleras &amp; Velásquez, 2004; Mantilla, 2004; </w:t>
      </w:r>
      <w:r w:rsidRPr="00ED114E">
        <w:rPr>
          <w:color w:val="222222"/>
          <w:sz w:val="24"/>
          <w:szCs w:val="24"/>
          <w:lang w:eastAsia="es-CO"/>
        </w:rPr>
        <w:t xml:space="preserve">Mantilla &amp; </w:t>
      </w:r>
      <w:proofErr w:type="spellStart"/>
      <w:r w:rsidRPr="00ED114E">
        <w:rPr>
          <w:color w:val="222222"/>
          <w:sz w:val="24"/>
          <w:szCs w:val="24"/>
          <w:lang w:eastAsia="es-CO"/>
        </w:rPr>
        <w:t>Chahín</w:t>
      </w:r>
      <w:proofErr w:type="spellEnd"/>
      <w:r w:rsidRPr="00ED114E">
        <w:rPr>
          <w:color w:val="222222"/>
          <w:sz w:val="24"/>
          <w:szCs w:val="24"/>
          <w:lang w:eastAsia="es-CO"/>
        </w:rPr>
        <w:t>, 2012</w:t>
      </w:r>
      <w:r w:rsidRPr="00ED114E">
        <w:rPr>
          <w:sz w:val="24"/>
          <w:szCs w:val="24"/>
        </w:rPr>
        <w:t xml:space="preserve">). Los estudios y las aplicaciones piloto a las que han sido sometidas dichas herramientas, constituyen una garantía importante que puede actuar en pro de los objetivos trazados por la escuela, de modo que esta pueda beneficiarse del </w:t>
      </w:r>
      <w:r w:rsidRPr="00ED114E">
        <w:rPr>
          <w:sz w:val="24"/>
          <w:szCs w:val="24"/>
        </w:rPr>
        <w:lastRenderedPageBreak/>
        <w:t xml:space="preserve">conocimiento y la investigación desarrollada por diferentes instituciones, tanto desde el ámbito de la academia como fuera de ella. </w:t>
      </w:r>
      <w:r w:rsidR="00686707" w:rsidRPr="00ED114E">
        <w:rPr>
          <w:sz w:val="24"/>
          <w:szCs w:val="24"/>
        </w:rPr>
        <w:t xml:space="preserve">El objetivo de la presente propuesta consiste en elaborar e implementar una estrategia dirigida a niños de grado cero, con el fin de trabajar las competencias ciudadanas que contribuyen al manejo efectivo de los conflictos, </w:t>
      </w:r>
      <w:r w:rsidR="00686707" w:rsidRPr="00ED114E">
        <w:rPr>
          <w:sz w:val="24"/>
          <w:szCs w:val="24"/>
        </w:rPr>
        <w:t>involucrando la participación</w:t>
      </w:r>
      <w:r w:rsidR="00686707" w:rsidRPr="00ED114E">
        <w:rPr>
          <w:sz w:val="24"/>
          <w:szCs w:val="24"/>
        </w:rPr>
        <w:t xml:space="preserve"> de padres y maestros.</w:t>
      </w:r>
    </w:p>
    <w:p w:rsidR="006922A8" w:rsidRPr="00ED114E" w:rsidRDefault="006922A8" w:rsidP="00ED114E">
      <w:pPr>
        <w:spacing w:after="0"/>
        <w:rPr>
          <w:b/>
          <w:sz w:val="24"/>
          <w:szCs w:val="24"/>
        </w:rPr>
      </w:pPr>
    </w:p>
    <w:p w:rsidR="00817ADB" w:rsidRPr="00ED114E" w:rsidRDefault="00817ADB" w:rsidP="00ED114E">
      <w:pPr>
        <w:spacing w:after="0"/>
        <w:rPr>
          <w:sz w:val="24"/>
          <w:szCs w:val="24"/>
        </w:rPr>
      </w:pPr>
    </w:p>
    <w:p w:rsidR="00817ADB" w:rsidRPr="00ED114E" w:rsidRDefault="00817ADB" w:rsidP="00ED114E">
      <w:pPr>
        <w:spacing w:after="0"/>
        <w:rPr>
          <w:b/>
          <w:sz w:val="24"/>
          <w:szCs w:val="24"/>
        </w:rPr>
      </w:pPr>
      <w:r w:rsidRPr="00ED114E">
        <w:rPr>
          <w:b/>
          <w:sz w:val="24"/>
          <w:szCs w:val="24"/>
        </w:rPr>
        <w:t xml:space="preserve">Marco teórico </w:t>
      </w:r>
    </w:p>
    <w:p w:rsidR="006922A8" w:rsidRPr="00ED114E" w:rsidRDefault="006922A8" w:rsidP="00ED114E">
      <w:pPr>
        <w:spacing w:after="0"/>
        <w:rPr>
          <w:b/>
          <w:sz w:val="24"/>
          <w:szCs w:val="24"/>
        </w:rPr>
      </w:pPr>
    </w:p>
    <w:p w:rsidR="006922A8" w:rsidRPr="00ED114E" w:rsidRDefault="006922A8" w:rsidP="00ED114E">
      <w:pPr>
        <w:jc w:val="both"/>
        <w:rPr>
          <w:sz w:val="24"/>
          <w:szCs w:val="24"/>
          <w:lang w:val="es-ES"/>
        </w:rPr>
      </w:pPr>
      <w:r w:rsidRPr="00ED114E">
        <w:rPr>
          <w:sz w:val="24"/>
          <w:szCs w:val="24"/>
        </w:rPr>
        <w:t>Nuestro</w:t>
      </w:r>
      <w:r w:rsidR="00053B65">
        <w:rPr>
          <w:sz w:val="24"/>
          <w:szCs w:val="24"/>
        </w:rPr>
        <w:t>s</w:t>
      </w:r>
      <w:r w:rsidRPr="00ED114E">
        <w:rPr>
          <w:sz w:val="24"/>
          <w:szCs w:val="24"/>
        </w:rPr>
        <w:t xml:space="preserve"> niños colombianos crecen expuestos a múltiples situaciones de violencia, no sólo en sus hogares, sino también en sus escuelas y barrios. Esta exposición tiende a incrementar el desarrollo de comportamientos similares (Gu</w:t>
      </w:r>
      <w:r w:rsidR="00686707" w:rsidRPr="00ED114E">
        <w:rPr>
          <w:sz w:val="24"/>
          <w:szCs w:val="24"/>
        </w:rPr>
        <w:t xml:space="preserve">erra, </w:t>
      </w:r>
      <w:proofErr w:type="spellStart"/>
      <w:r w:rsidR="00686707" w:rsidRPr="00ED114E">
        <w:rPr>
          <w:sz w:val="24"/>
          <w:szCs w:val="24"/>
        </w:rPr>
        <w:t>Huesmann</w:t>
      </w:r>
      <w:proofErr w:type="spellEnd"/>
      <w:r w:rsidR="00686707" w:rsidRPr="00ED114E">
        <w:rPr>
          <w:sz w:val="24"/>
          <w:szCs w:val="24"/>
        </w:rPr>
        <w:t xml:space="preserve"> &amp; </w:t>
      </w:r>
      <w:proofErr w:type="spellStart"/>
      <w:r w:rsidR="00686707" w:rsidRPr="00ED114E">
        <w:rPr>
          <w:sz w:val="24"/>
          <w:szCs w:val="24"/>
        </w:rPr>
        <w:t>Spindler</w:t>
      </w:r>
      <w:proofErr w:type="spellEnd"/>
      <w:r w:rsidR="00686707" w:rsidRPr="00ED114E">
        <w:rPr>
          <w:sz w:val="24"/>
          <w:szCs w:val="24"/>
        </w:rPr>
        <w:t xml:space="preserve">, 2003; Schwartz &amp; </w:t>
      </w:r>
      <w:proofErr w:type="spellStart"/>
      <w:r w:rsidRPr="00ED114E">
        <w:rPr>
          <w:sz w:val="24"/>
          <w:szCs w:val="24"/>
        </w:rPr>
        <w:t>Proctor</w:t>
      </w:r>
      <w:proofErr w:type="spellEnd"/>
      <w:r w:rsidRPr="00ED114E">
        <w:rPr>
          <w:sz w:val="24"/>
          <w:szCs w:val="24"/>
        </w:rPr>
        <w:t xml:space="preserve">, 2000), lo que contribuye a prolongar las condiciones que favorecen la agresión, el maltrato y la intolerancia en nuestro país. Múltiples herramientas se han desarrollado para atender desde diferentes frentes esta problemática. En particular, el Ministerio de Educación Nacional (MEN) ha planteado directrices para el desarrollo de competencias ciudadanas a partir de la escuela (MEN, 2004), buscando la construcción de ambientes pacíficos y la promoción de acciones constructivas para una sociedad democrática. </w:t>
      </w:r>
      <w:r w:rsidR="00053B65">
        <w:rPr>
          <w:sz w:val="24"/>
          <w:szCs w:val="24"/>
        </w:rPr>
        <w:t>¿</w:t>
      </w:r>
      <w:r w:rsidRPr="00ED114E">
        <w:rPr>
          <w:sz w:val="24"/>
          <w:szCs w:val="24"/>
        </w:rPr>
        <w:t xml:space="preserve">Cómo puede potencializarse el proceso de empoderamiento infantil a partir del trabajo en competencias ciudadanas que realiza la escuela? Varios trabajos se han realizado en nuestro país, intentando lograr una aproximación desde diferentes ópticas. El movimiento Fe y Alegría realizó un trabajo piloto a partir de la propuesta de habilidades para la vida de la Organización Mundial de la Salud (OMS), que después acabaría incorporando como parte de su PEI. Dicha propuesta hace parte de los programas sugeridos por el MEN (junto con el Plan Educativo de Formación Integral -PEFI-, el programa Cultura de Paz, Hacia la Creación de una Cultura Cívica, y Héroes de la Paz en Colombia), que podrían ser adoptados en los PEI de las escuelas como estrategia para el trabajo en competencias ciudadanas (MEN, 2004). La iniciativa “Escuelas Saludables” (Ministerio de Protección Social, 2006) también incluye en su tercer componente “el empoderamiento y la participación social”. De igual manera, el programa Aulas de Paz, desarrollado desde el grupo de investigación en Agresión, Conflictos y Educación para la Convivencia, de la Universidad de los Andes, busca el desarrollo de las competencias ciudadanas a partir de una propuesta </w:t>
      </w:r>
      <w:proofErr w:type="spellStart"/>
      <w:r w:rsidRPr="00ED114E">
        <w:rPr>
          <w:sz w:val="24"/>
          <w:szCs w:val="24"/>
        </w:rPr>
        <w:t>multi</w:t>
      </w:r>
      <w:proofErr w:type="spellEnd"/>
      <w:r w:rsidRPr="00ED114E">
        <w:rPr>
          <w:sz w:val="24"/>
          <w:szCs w:val="24"/>
        </w:rPr>
        <w:t>-componente que combina el trabajo en el aula, con los padres de familia y con grupos heterogéneos de alumnos (</w:t>
      </w:r>
      <w:proofErr w:type="spellStart"/>
      <w:r w:rsidRPr="00ED114E">
        <w:rPr>
          <w:sz w:val="24"/>
          <w:szCs w:val="24"/>
        </w:rPr>
        <w:t>Chaux</w:t>
      </w:r>
      <w:proofErr w:type="spellEnd"/>
      <w:r w:rsidRPr="00ED114E">
        <w:rPr>
          <w:sz w:val="24"/>
          <w:szCs w:val="24"/>
        </w:rPr>
        <w:t xml:space="preserve"> e cols., 2008; Ramos, Nieto, </w:t>
      </w:r>
      <w:proofErr w:type="spellStart"/>
      <w:r w:rsidRPr="00ED114E">
        <w:rPr>
          <w:sz w:val="24"/>
          <w:szCs w:val="24"/>
        </w:rPr>
        <w:t>Chaux</w:t>
      </w:r>
      <w:proofErr w:type="spellEnd"/>
      <w:r w:rsidRPr="00ED114E">
        <w:rPr>
          <w:sz w:val="24"/>
          <w:szCs w:val="24"/>
        </w:rPr>
        <w:t>, 2007). A partir de los buenos resultados obtenidos en esta última propuesta, se han planteado diferentes estrategias de aula e institucionales que favorecen el alcance de las metas  (</w:t>
      </w:r>
      <w:proofErr w:type="spellStart"/>
      <w:r w:rsidRPr="00ED114E">
        <w:rPr>
          <w:sz w:val="24"/>
          <w:szCs w:val="24"/>
        </w:rPr>
        <w:t>Chaux</w:t>
      </w:r>
      <w:proofErr w:type="spellEnd"/>
      <w:r w:rsidRPr="00ED114E">
        <w:rPr>
          <w:sz w:val="24"/>
          <w:szCs w:val="24"/>
        </w:rPr>
        <w:t>, Lleras</w:t>
      </w:r>
      <w:r w:rsidRPr="00ED114E">
        <w:rPr>
          <w:sz w:val="24"/>
          <w:szCs w:val="24"/>
        </w:rPr>
        <w:t xml:space="preserve"> &amp; Velásquez, 2004). </w:t>
      </w:r>
    </w:p>
    <w:p w:rsidR="00817ADB" w:rsidRPr="00ED114E" w:rsidRDefault="00817ADB" w:rsidP="00ED114E">
      <w:pPr>
        <w:spacing w:after="0"/>
        <w:rPr>
          <w:sz w:val="24"/>
          <w:szCs w:val="24"/>
        </w:rPr>
      </w:pPr>
    </w:p>
    <w:p w:rsidR="006922A8" w:rsidRPr="00053B65" w:rsidRDefault="006922A8" w:rsidP="00ED114E">
      <w:pPr>
        <w:spacing w:after="0"/>
        <w:rPr>
          <w:b/>
          <w:sz w:val="24"/>
          <w:szCs w:val="24"/>
        </w:rPr>
      </w:pPr>
      <w:r w:rsidRPr="00053B65">
        <w:rPr>
          <w:b/>
          <w:sz w:val="24"/>
          <w:szCs w:val="24"/>
        </w:rPr>
        <w:t>Referencias</w:t>
      </w:r>
    </w:p>
    <w:p w:rsidR="006922A8" w:rsidRPr="00ED114E" w:rsidRDefault="006922A8" w:rsidP="00ED114E">
      <w:pPr>
        <w:spacing w:after="0"/>
        <w:rPr>
          <w:sz w:val="24"/>
          <w:szCs w:val="24"/>
        </w:rPr>
      </w:pPr>
    </w:p>
    <w:p w:rsidR="006922A8" w:rsidRPr="00ED114E" w:rsidRDefault="006922A8" w:rsidP="00ED114E">
      <w:pPr>
        <w:ind w:left="709" w:hanging="709"/>
        <w:jc w:val="both"/>
        <w:rPr>
          <w:color w:val="222222"/>
          <w:sz w:val="24"/>
          <w:szCs w:val="24"/>
          <w:lang w:eastAsia="es-CO"/>
        </w:rPr>
      </w:pPr>
      <w:proofErr w:type="spellStart"/>
      <w:r w:rsidRPr="00ED114E">
        <w:rPr>
          <w:color w:val="222222"/>
          <w:sz w:val="24"/>
          <w:szCs w:val="24"/>
          <w:lang w:eastAsia="es-CO"/>
        </w:rPr>
        <w:t>Chaux</w:t>
      </w:r>
      <w:proofErr w:type="spellEnd"/>
      <w:r w:rsidRPr="00ED114E">
        <w:rPr>
          <w:color w:val="222222"/>
          <w:sz w:val="24"/>
          <w:szCs w:val="24"/>
          <w:lang w:eastAsia="es-CO"/>
        </w:rPr>
        <w:t xml:space="preserve">, E., Bustamante, A., Castellanos, M., Jiménez, M., Nieto, A., </w:t>
      </w:r>
      <w:proofErr w:type="spellStart"/>
      <w:r w:rsidRPr="00ED114E">
        <w:rPr>
          <w:color w:val="222222"/>
          <w:sz w:val="24"/>
          <w:szCs w:val="24"/>
          <w:lang w:eastAsia="es-CO"/>
        </w:rPr>
        <w:t>Rodriguez</w:t>
      </w:r>
      <w:proofErr w:type="spellEnd"/>
      <w:r w:rsidRPr="00ED114E">
        <w:rPr>
          <w:color w:val="222222"/>
          <w:sz w:val="24"/>
          <w:szCs w:val="24"/>
          <w:lang w:eastAsia="es-CO"/>
        </w:rPr>
        <w:t>, G.</w:t>
      </w:r>
      <w:proofErr w:type="gramStart"/>
      <w:r w:rsidRPr="00ED114E">
        <w:rPr>
          <w:color w:val="222222"/>
          <w:sz w:val="24"/>
          <w:szCs w:val="24"/>
          <w:lang w:eastAsia="es-CO"/>
        </w:rPr>
        <w:t>, ...</w:t>
      </w:r>
      <w:proofErr w:type="gramEnd"/>
      <w:r w:rsidRPr="00ED114E">
        <w:rPr>
          <w:color w:val="222222"/>
          <w:sz w:val="24"/>
          <w:szCs w:val="24"/>
          <w:lang w:eastAsia="es-CO"/>
        </w:rPr>
        <w:t xml:space="preserve"> &amp; Velásquez, A. (2008). Aulas en Paz: 2. Estrategias pedagógicas. </w:t>
      </w:r>
      <w:r w:rsidRPr="00ED114E">
        <w:rPr>
          <w:i/>
          <w:color w:val="222222"/>
          <w:sz w:val="24"/>
          <w:szCs w:val="24"/>
          <w:lang w:eastAsia="es-CO"/>
        </w:rPr>
        <w:t>Revista Interamericana de Educación para la Democracia</w:t>
      </w:r>
      <w:r w:rsidRPr="00ED114E">
        <w:rPr>
          <w:color w:val="222222"/>
          <w:sz w:val="24"/>
          <w:szCs w:val="24"/>
          <w:lang w:eastAsia="es-CO"/>
        </w:rPr>
        <w:t xml:space="preserve">, </w:t>
      </w:r>
      <w:r w:rsidRPr="00ED114E">
        <w:rPr>
          <w:i/>
          <w:color w:val="222222"/>
          <w:sz w:val="24"/>
          <w:szCs w:val="24"/>
          <w:lang w:eastAsia="es-CO"/>
        </w:rPr>
        <w:t>1</w:t>
      </w:r>
      <w:r w:rsidRPr="00ED114E">
        <w:rPr>
          <w:color w:val="222222"/>
          <w:sz w:val="24"/>
          <w:szCs w:val="24"/>
          <w:lang w:eastAsia="es-CO"/>
        </w:rPr>
        <w:t>(2), 125-145.</w:t>
      </w:r>
    </w:p>
    <w:p w:rsidR="006922A8" w:rsidRPr="00ED114E" w:rsidRDefault="006922A8" w:rsidP="00ED114E">
      <w:pPr>
        <w:ind w:left="709" w:hanging="709"/>
        <w:jc w:val="both"/>
        <w:rPr>
          <w:color w:val="222222"/>
          <w:sz w:val="24"/>
          <w:szCs w:val="24"/>
          <w:lang w:eastAsia="es-CO"/>
        </w:rPr>
      </w:pPr>
      <w:proofErr w:type="spellStart"/>
      <w:r w:rsidRPr="00ED114E">
        <w:rPr>
          <w:color w:val="222222"/>
          <w:sz w:val="24"/>
          <w:szCs w:val="24"/>
          <w:lang w:eastAsia="es-CO"/>
        </w:rPr>
        <w:t>Chaux</w:t>
      </w:r>
      <w:proofErr w:type="spellEnd"/>
      <w:r w:rsidRPr="00ED114E">
        <w:rPr>
          <w:color w:val="222222"/>
          <w:sz w:val="24"/>
          <w:szCs w:val="24"/>
          <w:lang w:eastAsia="es-CO"/>
        </w:rPr>
        <w:t xml:space="preserve">, J. E., Lleras, J., &amp; Velásquez, A. M. (2004). </w:t>
      </w:r>
      <w:r w:rsidRPr="00ED114E">
        <w:rPr>
          <w:i/>
          <w:color w:val="222222"/>
          <w:sz w:val="24"/>
          <w:szCs w:val="24"/>
          <w:lang w:eastAsia="es-CO"/>
        </w:rPr>
        <w:t>Competencias ciudadanas: de los estándares al aula; una propuesta de integración a las áreas académicas</w:t>
      </w:r>
      <w:r w:rsidRPr="00ED114E">
        <w:rPr>
          <w:color w:val="222222"/>
          <w:sz w:val="24"/>
          <w:szCs w:val="24"/>
          <w:lang w:eastAsia="es-CO"/>
        </w:rPr>
        <w:t>. Ministerio de Educación Nacional.</w:t>
      </w:r>
    </w:p>
    <w:p w:rsidR="006922A8" w:rsidRPr="00ED114E" w:rsidRDefault="006922A8" w:rsidP="00ED114E">
      <w:pPr>
        <w:ind w:left="709" w:hanging="709"/>
        <w:jc w:val="both"/>
        <w:rPr>
          <w:color w:val="222222"/>
          <w:sz w:val="24"/>
          <w:szCs w:val="24"/>
          <w:lang w:eastAsia="es-CO"/>
        </w:rPr>
      </w:pPr>
      <w:r w:rsidRPr="00ED114E">
        <w:rPr>
          <w:color w:val="222222"/>
          <w:sz w:val="24"/>
          <w:szCs w:val="24"/>
          <w:lang w:eastAsia="es-CO"/>
        </w:rPr>
        <w:lastRenderedPageBreak/>
        <w:t xml:space="preserve">Guerra, N. G., </w:t>
      </w:r>
      <w:proofErr w:type="spellStart"/>
      <w:r w:rsidRPr="00ED114E">
        <w:rPr>
          <w:color w:val="222222"/>
          <w:sz w:val="24"/>
          <w:szCs w:val="24"/>
          <w:lang w:eastAsia="es-CO"/>
        </w:rPr>
        <w:t>Rowell</w:t>
      </w:r>
      <w:proofErr w:type="spellEnd"/>
      <w:r w:rsidRPr="00ED114E">
        <w:rPr>
          <w:color w:val="222222"/>
          <w:sz w:val="24"/>
          <w:szCs w:val="24"/>
          <w:lang w:eastAsia="es-CO"/>
        </w:rPr>
        <w:t xml:space="preserve"> </w:t>
      </w:r>
      <w:proofErr w:type="spellStart"/>
      <w:r w:rsidRPr="00ED114E">
        <w:rPr>
          <w:color w:val="222222"/>
          <w:sz w:val="24"/>
          <w:szCs w:val="24"/>
          <w:lang w:eastAsia="es-CO"/>
        </w:rPr>
        <w:t>Huesmann</w:t>
      </w:r>
      <w:proofErr w:type="spellEnd"/>
      <w:r w:rsidRPr="00ED114E">
        <w:rPr>
          <w:color w:val="222222"/>
          <w:sz w:val="24"/>
          <w:szCs w:val="24"/>
          <w:lang w:eastAsia="es-CO"/>
        </w:rPr>
        <w:t xml:space="preserve">, L., &amp; </w:t>
      </w:r>
      <w:proofErr w:type="spellStart"/>
      <w:r w:rsidRPr="00ED114E">
        <w:rPr>
          <w:color w:val="222222"/>
          <w:sz w:val="24"/>
          <w:szCs w:val="24"/>
          <w:lang w:eastAsia="es-CO"/>
        </w:rPr>
        <w:t>Spindler</w:t>
      </w:r>
      <w:proofErr w:type="spellEnd"/>
      <w:r w:rsidRPr="00ED114E">
        <w:rPr>
          <w:color w:val="222222"/>
          <w:sz w:val="24"/>
          <w:szCs w:val="24"/>
          <w:lang w:eastAsia="es-CO"/>
        </w:rPr>
        <w:t xml:space="preserve">, A. (2003). </w:t>
      </w:r>
      <w:proofErr w:type="gramStart"/>
      <w:r w:rsidRPr="00ED114E">
        <w:rPr>
          <w:color w:val="222222"/>
          <w:sz w:val="24"/>
          <w:szCs w:val="24"/>
          <w:lang w:val="en-US" w:eastAsia="es-CO"/>
        </w:rPr>
        <w:t>Community violence exposure, social cognition, and aggression among urban elementary school children.</w:t>
      </w:r>
      <w:proofErr w:type="gramEnd"/>
      <w:r w:rsidRPr="00ED114E">
        <w:rPr>
          <w:color w:val="222222"/>
          <w:sz w:val="24"/>
          <w:szCs w:val="24"/>
          <w:lang w:val="en-US" w:eastAsia="es-CO"/>
        </w:rPr>
        <w:t xml:space="preserve"> </w:t>
      </w:r>
      <w:proofErr w:type="spellStart"/>
      <w:r w:rsidRPr="00ED114E">
        <w:rPr>
          <w:i/>
          <w:color w:val="222222"/>
          <w:sz w:val="24"/>
          <w:szCs w:val="24"/>
          <w:lang w:eastAsia="es-CO"/>
        </w:rPr>
        <w:t>Child</w:t>
      </w:r>
      <w:proofErr w:type="spellEnd"/>
      <w:r w:rsidRPr="00ED114E">
        <w:rPr>
          <w:i/>
          <w:color w:val="222222"/>
          <w:sz w:val="24"/>
          <w:szCs w:val="24"/>
          <w:lang w:eastAsia="es-CO"/>
        </w:rPr>
        <w:t xml:space="preserve"> </w:t>
      </w:r>
      <w:proofErr w:type="spellStart"/>
      <w:r w:rsidRPr="00ED114E">
        <w:rPr>
          <w:i/>
          <w:color w:val="222222"/>
          <w:sz w:val="24"/>
          <w:szCs w:val="24"/>
          <w:lang w:eastAsia="es-CO"/>
        </w:rPr>
        <w:t>development</w:t>
      </w:r>
      <w:proofErr w:type="spellEnd"/>
      <w:r w:rsidRPr="00ED114E">
        <w:rPr>
          <w:color w:val="222222"/>
          <w:sz w:val="24"/>
          <w:szCs w:val="24"/>
          <w:lang w:eastAsia="es-CO"/>
        </w:rPr>
        <w:t xml:space="preserve">, </w:t>
      </w:r>
      <w:r w:rsidRPr="00ED114E">
        <w:rPr>
          <w:i/>
          <w:color w:val="222222"/>
          <w:sz w:val="24"/>
          <w:szCs w:val="24"/>
          <w:lang w:eastAsia="es-CO"/>
        </w:rPr>
        <w:t>74</w:t>
      </w:r>
      <w:r w:rsidRPr="00ED114E">
        <w:rPr>
          <w:color w:val="222222"/>
          <w:sz w:val="24"/>
          <w:szCs w:val="24"/>
          <w:lang w:eastAsia="es-CO"/>
        </w:rPr>
        <w:t>(5), 1561-1576.</w:t>
      </w:r>
    </w:p>
    <w:p w:rsidR="006922A8" w:rsidRPr="00ED114E" w:rsidRDefault="006922A8" w:rsidP="00ED114E">
      <w:pPr>
        <w:ind w:left="709" w:hanging="709"/>
        <w:rPr>
          <w:color w:val="222222"/>
          <w:sz w:val="24"/>
          <w:szCs w:val="24"/>
          <w:lang w:eastAsia="es-CO"/>
        </w:rPr>
      </w:pPr>
      <w:r w:rsidRPr="00ED114E">
        <w:rPr>
          <w:color w:val="222222"/>
          <w:sz w:val="24"/>
          <w:szCs w:val="24"/>
          <w:lang w:eastAsia="es-CO"/>
        </w:rPr>
        <w:t>Mantilla, L. (2004). Habilidades para la vida. Una propuesta educativa para la promoción del desarrollo humano y la prevención de problemas psicosociales. Recuperado el  30 de marzo de 2014  de http://www.feyalegria.org/images/acrobat/72979810510810510097100101115_849.pdf</w:t>
      </w:r>
    </w:p>
    <w:p w:rsidR="006922A8" w:rsidRPr="00ED114E" w:rsidRDefault="006922A8" w:rsidP="00ED114E">
      <w:pPr>
        <w:ind w:left="709" w:hanging="709"/>
        <w:jc w:val="both"/>
        <w:rPr>
          <w:color w:val="222222"/>
          <w:sz w:val="24"/>
          <w:szCs w:val="24"/>
          <w:lang w:eastAsia="es-CO"/>
        </w:rPr>
      </w:pPr>
      <w:r w:rsidRPr="00ED114E">
        <w:rPr>
          <w:color w:val="222222"/>
          <w:sz w:val="24"/>
          <w:szCs w:val="24"/>
          <w:lang w:eastAsia="es-CO"/>
        </w:rPr>
        <w:t xml:space="preserve">Mantilla &amp; </w:t>
      </w:r>
      <w:proofErr w:type="spellStart"/>
      <w:r w:rsidRPr="00ED114E">
        <w:rPr>
          <w:color w:val="222222"/>
          <w:sz w:val="24"/>
          <w:szCs w:val="24"/>
          <w:lang w:eastAsia="es-CO"/>
        </w:rPr>
        <w:t>Chahín</w:t>
      </w:r>
      <w:proofErr w:type="spellEnd"/>
      <w:r w:rsidRPr="00ED114E">
        <w:rPr>
          <w:color w:val="222222"/>
          <w:sz w:val="24"/>
          <w:szCs w:val="24"/>
          <w:lang w:eastAsia="es-CO"/>
        </w:rPr>
        <w:t xml:space="preserve"> (2012). Habilidades para la vida: Manual para aprenderlas y enseñarlas. Fundación </w:t>
      </w:r>
      <w:proofErr w:type="spellStart"/>
      <w:r w:rsidRPr="00ED114E">
        <w:rPr>
          <w:color w:val="222222"/>
          <w:sz w:val="24"/>
          <w:szCs w:val="24"/>
          <w:lang w:eastAsia="es-CO"/>
        </w:rPr>
        <w:t>Edex</w:t>
      </w:r>
      <w:proofErr w:type="spellEnd"/>
      <w:r w:rsidRPr="00ED114E">
        <w:rPr>
          <w:color w:val="222222"/>
          <w:sz w:val="24"/>
          <w:szCs w:val="24"/>
          <w:lang w:eastAsia="es-CO"/>
        </w:rPr>
        <w:t>.</w:t>
      </w:r>
    </w:p>
    <w:p w:rsidR="006922A8" w:rsidRPr="00ED114E" w:rsidRDefault="006922A8" w:rsidP="00ED114E">
      <w:pPr>
        <w:ind w:left="709" w:hanging="709"/>
        <w:jc w:val="both"/>
        <w:rPr>
          <w:color w:val="222222"/>
          <w:sz w:val="24"/>
          <w:szCs w:val="24"/>
          <w:lang w:eastAsia="es-CO"/>
        </w:rPr>
      </w:pPr>
      <w:r w:rsidRPr="00ED114E">
        <w:rPr>
          <w:color w:val="222222"/>
          <w:sz w:val="24"/>
          <w:szCs w:val="24"/>
          <w:lang w:eastAsia="es-CO"/>
        </w:rPr>
        <w:t xml:space="preserve">Ministerio de Educación Nacional (2004). Formar para la Ciudadanía... ¡Sí es posible! Lo que necesitamos saber y saber hacer. </w:t>
      </w:r>
      <w:r w:rsidRPr="00ED114E">
        <w:rPr>
          <w:color w:val="222222"/>
          <w:sz w:val="24"/>
          <w:szCs w:val="24"/>
          <w:lang w:eastAsia="es-CO"/>
        </w:rPr>
        <w:cr/>
        <w:t>Estándares Básicos de Competencias Ciudadanas. Serie Guías No. 6. Bogotá: Ministerio de Educación Nacional.</w:t>
      </w:r>
    </w:p>
    <w:p w:rsidR="006922A8" w:rsidRPr="00ED114E" w:rsidRDefault="006922A8" w:rsidP="00ED114E">
      <w:pPr>
        <w:ind w:left="709" w:hanging="709"/>
        <w:jc w:val="both"/>
        <w:rPr>
          <w:color w:val="222222"/>
          <w:sz w:val="24"/>
          <w:szCs w:val="24"/>
          <w:lang w:eastAsia="es-CO"/>
        </w:rPr>
      </w:pPr>
      <w:r w:rsidRPr="00ED114E">
        <w:rPr>
          <w:color w:val="222222"/>
          <w:sz w:val="24"/>
          <w:szCs w:val="24"/>
          <w:lang w:eastAsia="es-CO"/>
        </w:rPr>
        <w:t xml:space="preserve">Ministerio de Protección Social (2006). Lineamientos Nacionales para la Aplicación y el Desarrollo de las Estrategias de Entornos Saludables: Escuela Saludable y Vivienda Saludable. Bogotá. </w:t>
      </w:r>
      <w:r w:rsidRPr="00ED114E">
        <w:rPr>
          <w:i/>
          <w:color w:val="222222"/>
          <w:sz w:val="24"/>
          <w:szCs w:val="24"/>
          <w:lang w:eastAsia="es-CO"/>
        </w:rPr>
        <w:t>DC: Ministerio de Protección Social.</w:t>
      </w:r>
    </w:p>
    <w:p w:rsidR="006922A8" w:rsidRPr="00ED114E" w:rsidRDefault="006922A8" w:rsidP="00ED114E">
      <w:pPr>
        <w:ind w:left="709" w:hanging="709"/>
        <w:jc w:val="both"/>
        <w:rPr>
          <w:color w:val="222222"/>
          <w:sz w:val="24"/>
          <w:szCs w:val="24"/>
          <w:lang w:eastAsia="es-CO"/>
        </w:rPr>
      </w:pPr>
      <w:r w:rsidRPr="00ED114E">
        <w:rPr>
          <w:color w:val="222222"/>
          <w:sz w:val="24"/>
          <w:szCs w:val="24"/>
          <w:lang w:eastAsia="es-CO"/>
        </w:rPr>
        <w:t xml:space="preserve">Organización Mundial de la Salud, </w:t>
      </w:r>
      <w:proofErr w:type="spellStart"/>
      <w:r w:rsidRPr="00ED114E">
        <w:rPr>
          <w:color w:val="222222"/>
          <w:sz w:val="24"/>
          <w:szCs w:val="24"/>
          <w:lang w:eastAsia="es-CO"/>
        </w:rPr>
        <w:t>Life</w:t>
      </w:r>
      <w:proofErr w:type="spellEnd"/>
      <w:r w:rsidRPr="00ED114E">
        <w:rPr>
          <w:color w:val="222222"/>
          <w:sz w:val="24"/>
          <w:szCs w:val="24"/>
          <w:lang w:eastAsia="es-CO"/>
        </w:rPr>
        <w:t xml:space="preserve"> </w:t>
      </w:r>
      <w:proofErr w:type="spellStart"/>
      <w:r w:rsidRPr="00ED114E">
        <w:rPr>
          <w:color w:val="222222"/>
          <w:sz w:val="24"/>
          <w:szCs w:val="24"/>
          <w:lang w:eastAsia="es-CO"/>
        </w:rPr>
        <w:t>Skills</w:t>
      </w:r>
      <w:proofErr w:type="spellEnd"/>
      <w:r w:rsidRPr="00ED114E">
        <w:rPr>
          <w:color w:val="222222"/>
          <w:sz w:val="24"/>
          <w:szCs w:val="24"/>
          <w:lang w:eastAsia="es-CO"/>
        </w:rPr>
        <w:t xml:space="preserve"> </w:t>
      </w:r>
      <w:proofErr w:type="spellStart"/>
      <w:r w:rsidRPr="00ED114E">
        <w:rPr>
          <w:color w:val="222222"/>
          <w:sz w:val="24"/>
          <w:szCs w:val="24"/>
          <w:lang w:eastAsia="es-CO"/>
        </w:rPr>
        <w:t>Education</w:t>
      </w:r>
      <w:proofErr w:type="spellEnd"/>
      <w:r w:rsidRPr="00ED114E">
        <w:rPr>
          <w:color w:val="222222"/>
          <w:sz w:val="24"/>
          <w:szCs w:val="24"/>
          <w:lang w:eastAsia="es-CO"/>
        </w:rPr>
        <w:t xml:space="preserve"> in </w:t>
      </w:r>
      <w:proofErr w:type="spellStart"/>
      <w:r w:rsidRPr="00ED114E">
        <w:rPr>
          <w:color w:val="222222"/>
          <w:sz w:val="24"/>
          <w:szCs w:val="24"/>
          <w:lang w:eastAsia="es-CO"/>
        </w:rPr>
        <w:t>Schools</w:t>
      </w:r>
      <w:proofErr w:type="spellEnd"/>
      <w:r w:rsidRPr="00ED114E">
        <w:rPr>
          <w:color w:val="222222"/>
          <w:sz w:val="24"/>
          <w:szCs w:val="24"/>
          <w:lang w:eastAsia="es-CO"/>
        </w:rPr>
        <w:t>, Ginebra, Suiza, 1997.</w:t>
      </w:r>
    </w:p>
    <w:p w:rsidR="006922A8" w:rsidRPr="00ED114E" w:rsidRDefault="006922A8" w:rsidP="00ED114E">
      <w:pPr>
        <w:ind w:left="709" w:hanging="709"/>
        <w:jc w:val="both"/>
        <w:rPr>
          <w:color w:val="222222"/>
          <w:sz w:val="24"/>
          <w:szCs w:val="24"/>
          <w:lang w:eastAsia="es-CO"/>
        </w:rPr>
      </w:pPr>
      <w:r w:rsidRPr="00ED114E">
        <w:rPr>
          <w:color w:val="222222"/>
          <w:sz w:val="24"/>
          <w:szCs w:val="24"/>
          <w:lang w:eastAsia="es-CO"/>
        </w:rPr>
        <w:t xml:space="preserve">Ramos, C., Nieto, A., &amp; </w:t>
      </w:r>
      <w:proofErr w:type="spellStart"/>
      <w:r w:rsidRPr="00ED114E">
        <w:rPr>
          <w:color w:val="222222"/>
          <w:sz w:val="24"/>
          <w:szCs w:val="24"/>
          <w:lang w:eastAsia="es-CO"/>
        </w:rPr>
        <w:t>Chaux</w:t>
      </w:r>
      <w:proofErr w:type="spellEnd"/>
      <w:r w:rsidRPr="00ED114E">
        <w:rPr>
          <w:color w:val="222222"/>
          <w:sz w:val="24"/>
          <w:szCs w:val="24"/>
          <w:lang w:eastAsia="es-CO"/>
        </w:rPr>
        <w:t xml:space="preserve">, E. (2007). Aulas en Paz: resultados preliminares de un programa </w:t>
      </w:r>
      <w:proofErr w:type="spellStart"/>
      <w:r w:rsidRPr="00ED114E">
        <w:rPr>
          <w:color w:val="222222"/>
          <w:sz w:val="24"/>
          <w:szCs w:val="24"/>
          <w:lang w:eastAsia="es-CO"/>
        </w:rPr>
        <w:t>multicomponente</w:t>
      </w:r>
      <w:proofErr w:type="spellEnd"/>
      <w:r w:rsidRPr="00ED114E">
        <w:rPr>
          <w:color w:val="222222"/>
          <w:sz w:val="24"/>
          <w:szCs w:val="24"/>
          <w:lang w:eastAsia="es-CO"/>
        </w:rPr>
        <w:t xml:space="preserve">. </w:t>
      </w:r>
      <w:r w:rsidRPr="00ED114E">
        <w:rPr>
          <w:i/>
          <w:color w:val="222222"/>
          <w:sz w:val="24"/>
          <w:szCs w:val="24"/>
          <w:lang w:eastAsia="es-CO"/>
        </w:rPr>
        <w:t>Revista Interamericana de Educación para la Democracia</w:t>
      </w:r>
      <w:r w:rsidRPr="00ED114E">
        <w:rPr>
          <w:color w:val="222222"/>
          <w:sz w:val="24"/>
          <w:szCs w:val="24"/>
          <w:lang w:eastAsia="es-CO"/>
        </w:rPr>
        <w:t xml:space="preserve">, </w:t>
      </w:r>
      <w:r w:rsidRPr="00ED114E">
        <w:rPr>
          <w:i/>
          <w:color w:val="222222"/>
          <w:sz w:val="24"/>
          <w:szCs w:val="24"/>
          <w:lang w:eastAsia="es-CO"/>
        </w:rPr>
        <w:t>1</w:t>
      </w:r>
      <w:r w:rsidRPr="00ED114E">
        <w:rPr>
          <w:color w:val="222222"/>
          <w:sz w:val="24"/>
          <w:szCs w:val="24"/>
          <w:lang w:eastAsia="es-CO"/>
        </w:rPr>
        <w:t>(1), 36-56.</w:t>
      </w:r>
    </w:p>
    <w:p w:rsidR="006922A8" w:rsidRPr="00ED114E" w:rsidRDefault="006922A8" w:rsidP="00ED114E">
      <w:pPr>
        <w:ind w:left="709" w:hanging="709"/>
        <w:jc w:val="both"/>
        <w:rPr>
          <w:sz w:val="24"/>
          <w:szCs w:val="24"/>
          <w:lang w:eastAsia="es-CO"/>
        </w:rPr>
      </w:pPr>
      <w:r w:rsidRPr="00ED114E">
        <w:rPr>
          <w:color w:val="222222"/>
          <w:sz w:val="24"/>
          <w:szCs w:val="24"/>
          <w:lang w:eastAsia="es-CO"/>
        </w:rPr>
        <w:t xml:space="preserve">Schwartz, D., &amp; </w:t>
      </w:r>
      <w:proofErr w:type="spellStart"/>
      <w:r w:rsidRPr="00ED114E">
        <w:rPr>
          <w:color w:val="222222"/>
          <w:sz w:val="24"/>
          <w:szCs w:val="24"/>
          <w:lang w:eastAsia="es-CO"/>
        </w:rPr>
        <w:t>Proctor</w:t>
      </w:r>
      <w:proofErr w:type="spellEnd"/>
      <w:r w:rsidRPr="00ED114E">
        <w:rPr>
          <w:color w:val="222222"/>
          <w:sz w:val="24"/>
          <w:szCs w:val="24"/>
          <w:lang w:eastAsia="es-CO"/>
        </w:rPr>
        <w:t xml:space="preserve">, L. J. (2000). </w:t>
      </w:r>
      <w:r w:rsidRPr="00ED114E">
        <w:rPr>
          <w:color w:val="222222"/>
          <w:sz w:val="24"/>
          <w:szCs w:val="24"/>
          <w:lang w:val="en-US" w:eastAsia="es-CO"/>
        </w:rPr>
        <w:t xml:space="preserve">Community violence exposure and children's social adjustment in the school peer group: the mediating roles of emotion regulation and social cognition. </w:t>
      </w:r>
      <w:proofErr w:type="spellStart"/>
      <w:r w:rsidRPr="00ED114E">
        <w:rPr>
          <w:i/>
          <w:color w:val="222222"/>
          <w:sz w:val="24"/>
          <w:szCs w:val="24"/>
          <w:lang w:eastAsia="es-CO"/>
        </w:rPr>
        <w:t>Journal</w:t>
      </w:r>
      <w:proofErr w:type="spellEnd"/>
      <w:r w:rsidRPr="00ED114E">
        <w:rPr>
          <w:i/>
          <w:color w:val="222222"/>
          <w:sz w:val="24"/>
          <w:szCs w:val="24"/>
          <w:lang w:eastAsia="es-CO"/>
        </w:rPr>
        <w:t xml:space="preserve"> of </w:t>
      </w:r>
      <w:proofErr w:type="spellStart"/>
      <w:r w:rsidRPr="00ED114E">
        <w:rPr>
          <w:i/>
          <w:color w:val="222222"/>
          <w:sz w:val="24"/>
          <w:szCs w:val="24"/>
          <w:lang w:eastAsia="es-CO"/>
        </w:rPr>
        <w:t>consulting</w:t>
      </w:r>
      <w:proofErr w:type="spellEnd"/>
      <w:r w:rsidRPr="00ED114E">
        <w:rPr>
          <w:i/>
          <w:color w:val="222222"/>
          <w:sz w:val="24"/>
          <w:szCs w:val="24"/>
          <w:lang w:eastAsia="es-CO"/>
        </w:rPr>
        <w:t xml:space="preserve"> and </w:t>
      </w:r>
      <w:proofErr w:type="spellStart"/>
      <w:r w:rsidRPr="00ED114E">
        <w:rPr>
          <w:i/>
          <w:color w:val="222222"/>
          <w:sz w:val="24"/>
          <w:szCs w:val="24"/>
          <w:lang w:eastAsia="es-CO"/>
        </w:rPr>
        <w:t>clinical</w:t>
      </w:r>
      <w:proofErr w:type="spellEnd"/>
      <w:r w:rsidRPr="00ED114E">
        <w:rPr>
          <w:i/>
          <w:color w:val="222222"/>
          <w:sz w:val="24"/>
          <w:szCs w:val="24"/>
          <w:lang w:eastAsia="es-CO"/>
        </w:rPr>
        <w:t xml:space="preserve"> </w:t>
      </w:r>
      <w:proofErr w:type="spellStart"/>
      <w:r w:rsidRPr="00ED114E">
        <w:rPr>
          <w:i/>
          <w:color w:val="222222"/>
          <w:sz w:val="24"/>
          <w:szCs w:val="24"/>
          <w:lang w:eastAsia="es-CO"/>
        </w:rPr>
        <w:t>psychology</w:t>
      </w:r>
      <w:proofErr w:type="spellEnd"/>
      <w:r w:rsidRPr="00ED114E">
        <w:rPr>
          <w:color w:val="222222"/>
          <w:sz w:val="24"/>
          <w:szCs w:val="24"/>
          <w:lang w:eastAsia="es-CO"/>
        </w:rPr>
        <w:t xml:space="preserve">, </w:t>
      </w:r>
      <w:r w:rsidRPr="00ED114E">
        <w:rPr>
          <w:i/>
          <w:color w:val="222222"/>
          <w:sz w:val="24"/>
          <w:szCs w:val="24"/>
          <w:lang w:eastAsia="es-CO"/>
        </w:rPr>
        <w:t>68</w:t>
      </w:r>
      <w:r w:rsidRPr="00ED114E">
        <w:rPr>
          <w:color w:val="222222"/>
          <w:sz w:val="24"/>
          <w:szCs w:val="24"/>
          <w:lang w:eastAsia="es-CO"/>
        </w:rPr>
        <w:t>(4), 670.</w:t>
      </w:r>
    </w:p>
    <w:p w:rsidR="006922A8" w:rsidRDefault="006922A8" w:rsidP="00ED114E">
      <w:pPr>
        <w:spacing w:after="0"/>
        <w:rPr>
          <w:sz w:val="24"/>
          <w:szCs w:val="24"/>
        </w:rPr>
      </w:pPr>
    </w:p>
    <w:p w:rsidR="00053B65" w:rsidRDefault="00053B65" w:rsidP="00ED114E">
      <w:pPr>
        <w:spacing w:after="0"/>
        <w:rPr>
          <w:sz w:val="24"/>
          <w:szCs w:val="24"/>
        </w:rPr>
      </w:pPr>
    </w:p>
    <w:p w:rsidR="00053B65" w:rsidRDefault="00053B65" w:rsidP="00ED114E">
      <w:pPr>
        <w:spacing w:after="0"/>
        <w:rPr>
          <w:sz w:val="24"/>
          <w:szCs w:val="24"/>
        </w:rPr>
      </w:pPr>
      <w:bookmarkStart w:id="0" w:name="_GoBack"/>
      <w:bookmarkEnd w:id="0"/>
    </w:p>
    <w:sectPr w:rsidR="00053B65" w:rsidSect="00B66BC4">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BC4" w:rsidRDefault="00B66BC4" w:rsidP="00B66BC4">
      <w:pPr>
        <w:spacing w:after="0" w:line="240" w:lineRule="auto"/>
      </w:pPr>
      <w:r>
        <w:separator/>
      </w:r>
    </w:p>
  </w:endnote>
  <w:endnote w:type="continuationSeparator" w:id="0">
    <w:p w:rsidR="00B66BC4" w:rsidRDefault="00B66BC4" w:rsidP="00B66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BC4" w:rsidRDefault="00B66BC4" w:rsidP="00B66BC4">
      <w:pPr>
        <w:spacing w:after="0" w:line="240" w:lineRule="auto"/>
      </w:pPr>
      <w:r>
        <w:separator/>
      </w:r>
    </w:p>
  </w:footnote>
  <w:footnote w:type="continuationSeparator" w:id="0">
    <w:p w:rsidR="00B66BC4" w:rsidRDefault="00B66BC4" w:rsidP="00B66BC4">
      <w:pPr>
        <w:spacing w:after="0" w:line="240" w:lineRule="auto"/>
      </w:pPr>
      <w:r>
        <w:continuationSeparator/>
      </w:r>
    </w:p>
  </w:footnote>
  <w:footnote w:id="1">
    <w:p w:rsidR="002D4CBC" w:rsidRPr="002D4CBC" w:rsidRDefault="002D4CBC" w:rsidP="002D4CBC">
      <w:pPr>
        <w:spacing w:after="0" w:line="240" w:lineRule="auto"/>
        <w:rPr>
          <w:b/>
          <w:sz w:val="20"/>
          <w:szCs w:val="20"/>
        </w:rPr>
      </w:pPr>
      <w:r w:rsidRPr="00053B65">
        <w:rPr>
          <w:rStyle w:val="Refdenotaalpie"/>
          <w:sz w:val="20"/>
          <w:szCs w:val="20"/>
        </w:rPr>
        <w:footnoteRef/>
      </w:r>
      <w:r w:rsidRPr="00053B65">
        <w:rPr>
          <w:sz w:val="20"/>
          <w:szCs w:val="20"/>
        </w:rPr>
        <w:t xml:space="preserve"> </w:t>
      </w:r>
      <w:r w:rsidR="00053B65" w:rsidRPr="00053B65">
        <w:rPr>
          <w:sz w:val="20"/>
          <w:szCs w:val="20"/>
        </w:rPr>
        <w:t>El presente proyecto se articula a la Línea de Investigación Medular “Libertades y Educación” y a la Línea Activa “Psicología, inclusión y derechos”</w:t>
      </w:r>
      <w:r w:rsidRPr="00053B65">
        <w:rPr>
          <w:sz w:val="20"/>
          <w:szCs w:val="20"/>
        </w:rPr>
        <w:t>. Actualmente</w:t>
      </w:r>
      <w:r w:rsidRPr="002D4CBC">
        <w:rPr>
          <w:sz w:val="20"/>
          <w:szCs w:val="20"/>
        </w:rPr>
        <w:t xml:space="preserve"> no se recibe ningún tipo de financiación.</w:t>
      </w:r>
    </w:p>
    <w:p w:rsidR="002D4CBC" w:rsidRPr="002D4CBC" w:rsidRDefault="002D4CBC">
      <w:pPr>
        <w:pStyle w:val="Textonotapie"/>
      </w:pPr>
    </w:p>
  </w:footnote>
  <w:footnote w:id="2">
    <w:p w:rsidR="002D4CBC" w:rsidRDefault="002D4CBC">
      <w:pPr>
        <w:pStyle w:val="Textonotapie"/>
      </w:pPr>
      <w:r w:rsidRPr="002D4CBC">
        <w:rPr>
          <w:rStyle w:val="Refdenotaalpie"/>
        </w:rPr>
        <w:footnoteRef/>
      </w:r>
      <w:r w:rsidRPr="002D4CBC">
        <w:t xml:space="preserve"> Psicóloga, Ms y PhD en </w:t>
      </w:r>
      <w:proofErr w:type="spellStart"/>
      <w:r w:rsidRPr="002D4CBC">
        <w:t>Psicobiología</w:t>
      </w:r>
      <w:proofErr w:type="spellEnd"/>
      <w:r w:rsidRPr="002D4CBC">
        <w:t xml:space="preserve">. Docente investigadora Universidad Santo Tomás. Contacto: </w:t>
      </w:r>
      <w:hyperlink r:id="rId1" w:history="1">
        <w:r w:rsidRPr="002D4CBC">
          <w:rPr>
            <w:rStyle w:val="Hipervnculo"/>
          </w:rPr>
          <w:t>claudiacharry@usantotomas.edu.co</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17ADB"/>
    <w:rsid w:val="0002012E"/>
    <w:rsid w:val="00053B65"/>
    <w:rsid w:val="00126BC2"/>
    <w:rsid w:val="001A1A2F"/>
    <w:rsid w:val="002D320B"/>
    <w:rsid w:val="002D4CBC"/>
    <w:rsid w:val="00421F68"/>
    <w:rsid w:val="00541AE2"/>
    <w:rsid w:val="006106CF"/>
    <w:rsid w:val="00686707"/>
    <w:rsid w:val="006922A8"/>
    <w:rsid w:val="00817ADB"/>
    <w:rsid w:val="008C17A9"/>
    <w:rsid w:val="008F4689"/>
    <w:rsid w:val="0092436F"/>
    <w:rsid w:val="00AD564C"/>
    <w:rsid w:val="00B66BC4"/>
    <w:rsid w:val="00C07775"/>
    <w:rsid w:val="00C259D0"/>
    <w:rsid w:val="00C64B1B"/>
    <w:rsid w:val="00CE4CAE"/>
    <w:rsid w:val="00D20039"/>
    <w:rsid w:val="00D23680"/>
    <w:rsid w:val="00D57883"/>
    <w:rsid w:val="00ED114E"/>
    <w:rsid w:val="00FC620D"/>
    <w:rsid w:val="00FE533A"/>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20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E4CAE"/>
    <w:rPr>
      <w:color w:val="0000FF" w:themeColor="hyperlink"/>
      <w:u w:val="single"/>
    </w:rPr>
  </w:style>
  <w:style w:type="paragraph" w:styleId="Encabezado">
    <w:name w:val="header"/>
    <w:basedOn w:val="Normal"/>
    <w:link w:val="EncabezadoCar"/>
    <w:uiPriority w:val="99"/>
    <w:unhideWhenUsed/>
    <w:rsid w:val="00B66B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6BC4"/>
  </w:style>
  <w:style w:type="paragraph" w:styleId="Piedepgina">
    <w:name w:val="footer"/>
    <w:basedOn w:val="Normal"/>
    <w:link w:val="PiedepginaCar"/>
    <w:uiPriority w:val="99"/>
    <w:unhideWhenUsed/>
    <w:rsid w:val="00B66B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6BC4"/>
  </w:style>
  <w:style w:type="paragraph" w:styleId="Textonotapie">
    <w:name w:val="footnote text"/>
    <w:basedOn w:val="Normal"/>
    <w:link w:val="TextonotapieCar"/>
    <w:uiPriority w:val="99"/>
    <w:semiHidden/>
    <w:unhideWhenUsed/>
    <w:rsid w:val="00C259D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259D0"/>
    <w:rPr>
      <w:sz w:val="20"/>
      <w:szCs w:val="20"/>
    </w:rPr>
  </w:style>
  <w:style w:type="character" w:styleId="Refdenotaalpie">
    <w:name w:val="footnote reference"/>
    <w:basedOn w:val="Fuentedeprrafopredeter"/>
    <w:uiPriority w:val="99"/>
    <w:semiHidden/>
    <w:unhideWhenUsed/>
    <w:rsid w:val="00C259D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claudiacharry@usantotomas.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05720-F00C-41D9-AF23-499377CBA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4</Pages>
  <Words>1820</Words>
  <Characters>10016</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Claudia</cp:lastModifiedBy>
  <cp:revision>15</cp:revision>
  <dcterms:created xsi:type="dcterms:W3CDTF">2014-09-24T03:58:00Z</dcterms:created>
  <dcterms:modified xsi:type="dcterms:W3CDTF">2014-09-29T02:34:00Z</dcterms:modified>
</cp:coreProperties>
</file>