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1B94" w:rsidRPr="00D3358A" w:rsidRDefault="00D3358A" w:rsidP="00D3358A">
      <w:pPr>
        <w:jc w:val="center"/>
        <w:rPr>
          <w:rFonts w:ascii="Times New Roman" w:hAnsi="Times New Roman"/>
          <w:b/>
          <w:sz w:val="24"/>
        </w:rPr>
      </w:pPr>
      <w:r w:rsidRPr="00D3358A">
        <w:rPr>
          <w:rFonts w:ascii="Times New Roman" w:hAnsi="Times New Roman"/>
          <w:b/>
          <w:sz w:val="24"/>
        </w:rPr>
        <w:t>EXPEDIENTE ELECTRÓNICO EN LA RAMA JUDICIAL. Realidad o ficción?</w:t>
      </w:r>
    </w:p>
    <w:p w:rsidR="00EF1B94" w:rsidRDefault="00EF1B94" w:rsidP="005410B3">
      <w:pPr>
        <w:jc w:val="both"/>
        <w:rPr>
          <w:rFonts w:ascii="Times New Roman" w:hAnsi="Times New Roman"/>
          <w:sz w:val="24"/>
        </w:rPr>
      </w:pPr>
    </w:p>
    <w:p w:rsidR="005410B3" w:rsidRDefault="005410B3" w:rsidP="005410B3">
      <w:pPr>
        <w:jc w:val="both"/>
        <w:rPr>
          <w:rFonts w:ascii="Times New Roman" w:hAnsi="Times New Roman"/>
          <w:sz w:val="24"/>
        </w:rPr>
      </w:pPr>
      <w:r>
        <w:rPr>
          <w:rFonts w:ascii="Times New Roman" w:hAnsi="Times New Roman"/>
          <w:sz w:val="24"/>
        </w:rPr>
        <w:t>Título</w:t>
      </w:r>
      <w:r w:rsidR="00D3527F">
        <w:rPr>
          <w:rFonts w:ascii="Times New Roman" w:hAnsi="Times New Roman"/>
          <w:sz w:val="24"/>
        </w:rPr>
        <w:t>: Expediente electrónico</w:t>
      </w:r>
      <w:r w:rsidR="00627CBF">
        <w:rPr>
          <w:rFonts w:ascii="Times New Roman" w:hAnsi="Times New Roman"/>
          <w:sz w:val="24"/>
        </w:rPr>
        <w:t xml:space="preserve">. Realidad o </w:t>
      </w:r>
      <w:r w:rsidR="00EC5B46">
        <w:rPr>
          <w:rFonts w:ascii="Times New Roman" w:hAnsi="Times New Roman"/>
          <w:sz w:val="24"/>
        </w:rPr>
        <w:t>ficción?</w:t>
      </w:r>
    </w:p>
    <w:p w:rsidR="005410B3" w:rsidRDefault="00D3358A" w:rsidP="005410B3">
      <w:pPr>
        <w:jc w:val="both"/>
        <w:rPr>
          <w:rFonts w:ascii="Times New Roman" w:hAnsi="Times New Roman"/>
          <w:sz w:val="24"/>
        </w:rPr>
      </w:pPr>
      <w:r>
        <w:rPr>
          <w:rFonts w:ascii="Times New Roman" w:hAnsi="Times New Roman"/>
          <w:sz w:val="24"/>
        </w:rPr>
        <w:t>Duración</w:t>
      </w:r>
      <w:r w:rsidR="00EC5B46">
        <w:rPr>
          <w:rFonts w:ascii="Times New Roman" w:hAnsi="Times New Roman"/>
          <w:sz w:val="24"/>
        </w:rPr>
        <w:t>: 12</w:t>
      </w:r>
      <w:r>
        <w:rPr>
          <w:rFonts w:ascii="Times New Roman" w:hAnsi="Times New Roman"/>
          <w:sz w:val="24"/>
        </w:rPr>
        <w:t xml:space="preserve"> meses </w:t>
      </w:r>
    </w:p>
    <w:p w:rsidR="005410B3" w:rsidRDefault="005410B3" w:rsidP="005410B3">
      <w:pPr>
        <w:jc w:val="both"/>
        <w:rPr>
          <w:rFonts w:ascii="Times New Roman" w:hAnsi="Times New Roman"/>
          <w:sz w:val="24"/>
        </w:rPr>
      </w:pPr>
      <w:r>
        <w:rPr>
          <w:rFonts w:ascii="Times New Roman" w:hAnsi="Times New Roman"/>
          <w:sz w:val="24"/>
        </w:rPr>
        <w:t>Lugar de ejecución</w:t>
      </w:r>
      <w:r w:rsidR="00EC5B46">
        <w:rPr>
          <w:rFonts w:ascii="Times New Roman" w:hAnsi="Times New Roman"/>
          <w:sz w:val="24"/>
        </w:rPr>
        <w:t xml:space="preserve">: Bogotá. </w:t>
      </w:r>
    </w:p>
    <w:p w:rsidR="005410B3" w:rsidRDefault="005410B3" w:rsidP="005410B3">
      <w:pPr>
        <w:jc w:val="both"/>
        <w:rPr>
          <w:rFonts w:ascii="Times New Roman" w:hAnsi="Times New Roman"/>
          <w:sz w:val="24"/>
        </w:rPr>
      </w:pPr>
      <w:r>
        <w:rPr>
          <w:rFonts w:ascii="Times New Roman" w:hAnsi="Times New Roman"/>
          <w:sz w:val="24"/>
        </w:rPr>
        <w:t>Investigador principal</w:t>
      </w:r>
      <w:r w:rsidR="000C0037">
        <w:rPr>
          <w:rFonts w:ascii="Times New Roman" w:hAnsi="Times New Roman"/>
          <w:sz w:val="24"/>
        </w:rPr>
        <w:t>: Ana Yasmin Torres Torres</w:t>
      </w:r>
    </w:p>
    <w:p w:rsidR="005410B3" w:rsidRDefault="005410B3" w:rsidP="005410B3">
      <w:pPr>
        <w:jc w:val="both"/>
        <w:rPr>
          <w:rFonts w:ascii="Times New Roman" w:hAnsi="Times New Roman"/>
          <w:sz w:val="24"/>
        </w:rPr>
      </w:pPr>
    </w:p>
    <w:tbl>
      <w:tblPr>
        <w:tblStyle w:val="Tablaconcuadrcula"/>
        <w:tblW w:w="10632" w:type="dxa"/>
        <w:tblInd w:w="-601" w:type="dxa"/>
        <w:tblLook w:val="04A0" w:firstRow="1" w:lastRow="0" w:firstColumn="1" w:lastColumn="0" w:noHBand="0" w:noVBand="1"/>
      </w:tblPr>
      <w:tblGrid>
        <w:gridCol w:w="1560"/>
        <w:gridCol w:w="1701"/>
        <w:gridCol w:w="1276"/>
        <w:gridCol w:w="1417"/>
        <w:gridCol w:w="2977"/>
        <w:gridCol w:w="1701"/>
      </w:tblGrid>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95557A">
            <w:pPr>
              <w:jc w:val="center"/>
              <w:rPr>
                <w:rFonts w:ascii="Times New Roman" w:hAnsi="Times New Roman"/>
                <w:b/>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95557A">
            <w:pPr>
              <w:jc w:val="center"/>
              <w:rPr>
                <w:rFonts w:ascii="Times New Roman" w:hAnsi="Times New Roman"/>
                <w:b/>
                <w:sz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Default="005F220A" w:rsidP="0095557A">
            <w:pPr>
              <w:jc w:val="center"/>
              <w:rPr>
                <w:rFonts w:ascii="Times New Roman" w:hAnsi="Times New Roman"/>
                <w:b/>
                <w:sz w:val="24"/>
              </w:rPr>
            </w:pPr>
            <w:r>
              <w:rPr>
                <w:rFonts w:ascii="Times New Roman" w:hAnsi="Times New Roman"/>
                <w:b/>
                <w:sz w:val="24"/>
              </w:rPr>
              <w:t>Datos generales</w:t>
            </w:r>
          </w:p>
        </w:tc>
      </w:tr>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Grupo(s) de investigación</w:t>
            </w:r>
          </w:p>
        </w:tc>
      </w:tr>
      <w:tr w:rsidR="005F220A"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0037" w:rsidRDefault="000C0037" w:rsidP="0095557A">
            <w:pPr>
              <w:jc w:val="both"/>
              <w:rPr>
                <w:rFonts w:ascii="Times New Roman" w:hAnsi="Times New Roman"/>
                <w:sz w:val="24"/>
              </w:rPr>
            </w:pPr>
          </w:p>
          <w:p w:rsidR="000C0037" w:rsidRDefault="00ED592F" w:rsidP="0095557A">
            <w:pPr>
              <w:jc w:val="both"/>
              <w:rPr>
                <w:rFonts w:ascii="Times New Roman" w:hAnsi="Times New Roman"/>
                <w:sz w:val="24"/>
              </w:rPr>
            </w:pPr>
            <w:r>
              <w:rPr>
                <w:rFonts w:ascii="Times New Roman" w:hAnsi="Times New Roman"/>
                <w:sz w:val="24"/>
              </w:rPr>
              <w:t xml:space="preserve">Doctorado en </w:t>
            </w:r>
            <w:r w:rsidR="000C0037">
              <w:rPr>
                <w:rFonts w:ascii="Times New Roman" w:hAnsi="Times New Roman"/>
                <w:sz w:val="24"/>
              </w:rPr>
              <w:t>Derecho</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C0037" w:rsidRDefault="000C0037" w:rsidP="0095557A">
            <w:pPr>
              <w:jc w:val="both"/>
              <w:rPr>
                <w:rFonts w:ascii="Times New Roman" w:hAnsi="Times New Roman"/>
                <w:sz w:val="24"/>
              </w:rPr>
            </w:pPr>
          </w:p>
          <w:p w:rsidR="000C0037" w:rsidRDefault="000C0037" w:rsidP="0095557A">
            <w:pPr>
              <w:jc w:val="both"/>
              <w:rPr>
                <w:rFonts w:ascii="Times New Roman" w:hAnsi="Times New Roman"/>
                <w:sz w:val="24"/>
              </w:rPr>
            </w:pPr>
            <w:r>
              <w:rPr>
                <w:rFonts w:ascii="Times New Roman" w:hAnsi="Times New Roman"/>
                <w:sz w:val="24"/>
              </w:rPr>
              <w:t>Derecho</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D592F" w:rsidRDefault="00ED592F" w:rsidP="00D3358A">
            <w:pPr>
              <w:jc w:val="both"/>
              <w:rPr>
                <w:rFonts w:ascii="Times New Roman" w:hAnsi="Times New Roman"/>
                <w:sz w:val="24"/>
              </w:rPr>
            </w:pPr>
            <w:r>
              <w:rPr>
                <w:rFonts w:ascii="Times New Roman" w:hAnsi="Times New Roman"/>
                <w:sz w:val="24"/>
              </w:rPr>
              <w:t>Estudios en Derecho Privado</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D592F" w:rsidRDefault="00ED592F" w:rsidP="0095557A">
            <w:pPr>
              <w:jc w:val="both"/>
              <w:rPr>
                <w:rFonts w:ascii="Times New Roman" w:hAnsi="Times New Roman"/>
                <w:sz w:val="24"/>
              </w:rPr>
            </w:pPr>
          </w:p>
          <w:p w:rsidR="00ED592F" w:rsidRDefault="00ED592F" w:rsidP="0095557A">
            <w:pPr>
              <w:jc w:val="both"/>
              <w:rPr>
                <w:rFonts w:ascii="Times New Roman" w:hAnsi="Times New Roman"/>
                <w:sz w:val="24"/>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Default="005F220A" w:rsidP="005F220A">
            <w:pPr>
              <w:rPr>
                <w:rFonts w:ascii="Times New Roman" w:hAnsi="Times New Roman"/>
                <w:sz w:val="24"/>
              </w:rPr>
            </w:pPr>
            <w:r>
              <w:rPr>
                <w:rFonts w:ascii="Times New Roman" w:hAnsi="Times New Roman"/>
                <w:sz w:val="24"/>
              </w:rPr>
              <w:t>Derechos humanos, ciudadanía y construcción de política pública en y para escenarios de paz (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 xml:space="preserve">Desarrollo tecnológico con apuesta social </w:t>
            </w:r>
          </w:p>
          <w:p w:rsidR="005F220A" w:rsidRDefault="005F220A" w:rsidP="005F220A">
            <w:pPr>
              <w:rPr>
                <w:rFonts w:ascii="Times New Roman" w:hAnsi="Times New Roman"/>
                <w:sz w:val="24"/>
              </w:rPr>
            </w:pPr>
            <w:r>
              <w:rPr>
                <w:rFonts w:ascii="Times New Roman" w:hAnsi="Times New Roman"/>
                <w:sz w:val="24"/>
              </w:rPr>
              <w:t xml:space="preserve">( </w:t>
            </w:r>
            <w:r w:rsidR="00DF4F7E">
              <w:rPr>
                <w:rFonts w:ascii="Times New Roman" w:hAnsi="Times New Roman"/>
                <w:sz w:val="24"/>
              </w:rPr>
              <w:t>x</w:t>
            </w:r>
            <w:r>
              <w:rPr>
                <w:rFonts w:ascii="Times New Roman" w:hAnsi="Times New Roman"/>
                <w:sz w:val="24"/>
              </w:rPr>
              <w:t xml:space="preserve">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Desarrollo ambiental sostenible (  )</w:t>
            </w:r>
          </w:p>
          <w:p w:rsidR="005F220A" w:rsidRDefault="005F220A" w:rsidP="005F220A">
            <w:pPr>
              <w:rPr>
                <w:rFonts w:ascii="Times New Roman" w:hAnsi="Times New Roman"/>
                <w:sz w:val="24"/>
              </w:rPr>
            </w:pPr>
          </w:p>
          <w:p w:rsidR="005F220A" w:rsidRDefault="005F220A" w:rsidP="005F220A">
            <w:pPr>
              <w:rPr>
                <w:rFonts w:ascii="Times New Roman" w:hAnsi="Times New Roman"/>
                <w:sz w:val="24"/>
              </w:rPr>
            </w:pPr>
            <w:r>
              <w:rPr>
                <w:rFonts w:ascii="Times New Roman" w:hAnsi="Times New Roman"/>
                <w:sz w:val="24"/>
              </w:rPr>
              <w:t>Cambio educativo y social desde la multi e interculturalidad (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F4F7E" w:rsidRDefault="00DF4F7E" w:rsidP="0095557A">
            <w:pPr>
              <w:jc w:val="both"/>
              <w:rPr>
                <w:rFonts w:ascii="Times New Roman" w:hAnsi="Times New Roman"/>
                <w:sz w:val="24"/>
              </w:rPr>
            </w:pPr>
            <w:r>
              <w:rPr>
                <w:rFonts w:ascii="Times New Roman" w:hAnsi="Times New Roman"/>
                <w:sz w:val="24"/>
              </w:rPr>
              <w:t>Estudios en Derecho Privado</w:t>
            </w:r>
          </w:p>
        </w:tc>
      </w:tr>
    </w:tbl>
    <w:p w:rsidR="005410B3" w:rsidRDefault="005410B3" w:rsidP="005410B3">
      <w:pPr>
        <w:spacing w:before="240"/>
        <w:jc w:val="both"/>
        <w:rPr>
          <w:rFonts w:ascii="Times New Roman" w:hAnsi="Times New Roman"/>
          <w:sz w:val="24"/>
        </w:rPr>
      </w:pPr>
      <w:r>
        <w:rPr>
          <w:rFonts w:ascii="Times New Roman" w:hAnsi="Times New Roman"/>
          <w:sz w:val="24"/>
        </w:rPr>
        <w:t>Equipo de investigación requerido</w:t>
      </w:r>
      <w:r w:rsidR="00DF4F7E">
        <w:rPr>
          <w:rFonts w:ascii="Times New Roman" w:hAnsi="Times New Roman"/>
          <w:sz w:val="24"/>
        </w:rPr>
        <w:t xml:space="preserve">: Investigador principal y semilleros de investigación. </w:t>
      </w:r>
      <w:r>
        <w:rPr>
          <w:rFonts w:ascii="Times New Roman" w:hAnsi="Times New Roman"/>
          <w:sz w:val="24"/>
        </w:rPr>
        <w:t xml:space="preserve"> </w:t>
      </w:r>
    </w:p>
    <w:p w:rsidR="00D3358A" w:rsidRDefault="00D3358A" w:rsidP="005410B3">
      <w:pPr>
        <w:jc w:val="both"/>
        <w:rPr>
          <w:rFonts w:ascii="Times New Roman" w:hAnsi="Times New Roman"/>
          <w:sz w:val="24"/>
        </w:rPr>
      </w:pPr>
    </w:p>
    <w:p w:rsidR="00D3358A" w:rsidRPr="001227C6" w:rsidRDefault="005410B3" w:rsidP="001227C6">
      <w:pPr>
        <w:pStyle w:val="Prrafodelista"/>
        <w:numPr>
          <w:ilvl w:val="0"/>
          <w:numId w:val="39"/>
        </w:numPr>
        <w:jc w:val="both"/>
        <w:rPr>
          <w:rFonts w:ascii="Times New Roman" w:hAnsi="Times New Roman"/>
          <w:sz w:val="24"/>
        </w:rPr>
      </w:pPr>
      <w:r w:rsidRPr="001227C6">
        <w:rPr>
          <w:rFonts w:ascii="Times New Roman" w:hAnsi="Times New Roman"/>
          <w:b/>
          <w:sz w:val="24"/>
        </w:rPr>
        <w:t>Resumen de la propuesta</w:t>
      </w:r>
      <w:r w:rsidR="00D3358A" w:rsidRPr="001227C6">
        <w:rPr>
          <w:rFonts w:ascii="Times New Roman" w:hAnsi="Times New Roman"/>
          <w:sz w:val="24"/>
        </w:rPr>
        <w:t>:</w:t>
      </w:r>
    </w:p>
    <w:p w:rsidR="00347288" w:rsidRDefault="00B46475" w:rsidP="00B46475">
      <w:pPr>
        <w:jc w:val="both"/>
        <w:rPr>
          <w:rFonts w:ascii="Times New Roman" w:hAnsi="Times New Roman" w:cs="Times New Roman"/>
          <w:color w:val="000000"/>
          <w:kern w:val="28"/>
          <w:sz w:val="24"/>
          <w:szCs w:val="24"/>
          <w:lang w:val="es-ES"/>
        </w:rPr>
      </w:pPr>
      <w:r w:rsidRPr="00B46475">
        <w:rPr>
          <w:rFonts w:ascii="Times New Roman" w:hAnsi="Times New Roman" w:cs="Times New Roman"/>
          <w:color w:val="000000"/>
          <w:kern w:val="28"/>
          <w:sz w:val="24"/>
          <w:szCs w:val="24"/>
          <w:lang w:val="es-ES"/>
        </w:rPr>
        <w:t>La ley 1437 de 2011, (Código de Procedimiento Administrativo y de lo Contencioso Administrativo) la cual comenzó a regir el 2 de julio de 2012, estableció en el parágrafo del  artículo 186 que “</w:t>
      </w:r>
      <w:r w:rsidRPr="00676A99">
        <w:rPr>
          <w:rFonts w:ascii="Times New Roman" w:hAnsi="Times New Roman" w:cs="Times New Roman"/>
          <w:i/>
          <w:color w:val="000000"/>
          <w:kern w:val="28"/>
          <w:sz w:val="24"/>
          <w:szCs w:val="24"/>
          <w:lang w:val="es-ES"/>
        </w:rPr>
        <w:t xml:space="preserve">La Sala Administrativa del Consejo Superior de la Judicatura adoptará las medidas necesarias para que en un plazo no mayor de cinco (5) años, contados a partir de la vigencia del presente Código, sea implementado con todas las condiciones técnicas </w:t>
      </w:r>
      <w:r w:rsidRPr="00676A99">
        <w:rPr>
          <w:rFonts w:ascii="Times New Roman" w:hAnsi="Times New Roman" w:cs="Times New Roman"/>
          <w:i/>
          <w:color w:val="000000"/>
          <w:kern w:val="28"/>
          <w:sz w:val="24"/>
          <w:szCs w:val="24"/>
          <w:lang w:val="es-ES"/>
        </w:rPr>
        <w:lastRenderedPageBreak/>
        <w:t>necesarias el expediente judicial electrónico”</w:t>
      </w:r>
      <w:r w:rsidR="00676A99">
        <w:rPr>
          <w:rFonts w:ascii="Times New Roman" w:hAnsi="Times New Roman" w:cs="Times New Roman"/>
          <w:color w:val="000000"/>
          <w:kern w:val="28"/>
          <w:sz w:val="24"/>
          <w:szCs w:val="24"/>
          <w:lang w:val="es-ES"/>
        </w:rPr>
        <w:t>. En igual sentido se manifestó la ley 1564 de 2012, la cual señaló que el Consejo Superior de la Judicatura debía implementar el plan de justicia digital. S</w:t>
      </w:r>
      <w:r w:rsidRPr="00B46475">
        <w:rPr>
          <w:rFonts w:ascii="Times New Roman" w:hAnsi="Times New Roman" w:cs="Times New Roman"/>
          <w:color w:val="000000"/>
          <w:kern w:val="28"/>
          <w:sz w:val="24"/>
          <w:szCs w:val="24"/>
          <w:lang w:val="es-ES"/>
        </w:rPr>
        <w:t xml:space="preserve">in embargo, </w:t>
      </w:r>
      <w:r w:rsidR="00676A99">
        <w:rPr>
          <w:rFonts w:ascii="Times New Roman" w:hAnsi="Times New Roman" w:cs="Times New Roman"/>
          <w:color w:val="000000"/>
          <w:kern w:val="28"/>
          <w:sz w:val="24"/>
          <w:szCs w:val="24"/>
          <w:lang w:val="es-ES"/>
        </w:rPr>
        <w:t xml:space="preserve"> cinco (5) años después de la entrada en vigencia de las normas citadas </w:t>
      </w:r>
      <w:r w:rsidR="00347288">
        <w:rPr>
          <w:rFonts w:ascii="Times New Roman" w:hAnsi="Times New Roman" w:cs="Times New Roman"/>
          <w:color w:val="000000"/>
          <w:kern w:val="28"/>
          <w:sz w:val="24"/>
          <w:szCs w:val="24"/>
          <w:lang w:val="es-ES"/>
        </w:rPr>
        <w:t xml:space="preserve">la rama judicial </w:t>
      </w:r>
      <w:r w:rsidR="00676A99">
        <w:rPr>
          <w:rFonts w:ascii="Times New Roman" w:hAnsi="Times New Roman" w:cs="Times New Roman"/>
          <w:color w:val="000000"/>
          <w:kern w:val="28"/>
          <w:sz w:val="24"/>
          <w:szCs w:val="24"/>
          <w:lang w:val="es-ES"/>
        </w:rPr>
        <w:t xml:space="preserve"> </w:t>
      </w:r>
      <w:r w:rsidR="00347288">
        <w:rPr>
          <w:rFonts w:ascii="Times New Roman" w:hAnsi="Times New Roman" w:cs="Times New Roman"/>
          <w:color w:val="000000"/>
          <w:kern w:val="28"/>
          <w:sz w:val="24"/>
          <w:szCs w:val="24"/>
          <w:lang w:val="es-ES"/>
        </w:rPr>
        <w:t xml:space="preserve">no ha implementado el expediente electrónico ni el plan de justicia digital.  </w:t>
      </w:r>
    </w:p>
    <w:p w:rsidR="00B46475" w:rsidRPr="00B46475" w:rsidRDefault="00B46475" w:rsidP="00B46475">
      <w:pPr>
        <w:jc w:val="both"/>
        <w:rPr>
          <w:rFonts w:ascii="Times New Roman" w:hAnsi="Times New Roman" w:cs="Times New Roman"/>
          <w:sz w:val="24"/>
          <w:szCs w:val="24"/>
        </w:rPr>
      </w:pPr>
      <w:r w:rsidRPr="00B46475">
        <w:rPr>
          <w:rFonts w:ascii="Times New Roman" w:hAnsi="Times New Roman" w:cs="Times New Roman"/>
          <w:sz w:val="24"/>
          <w:szCs w:val="24"/>
        </w:rPr>
        <w:t>Por lo anterior</w:t>
      </w:r>
      <w:r w:rsidR="00347288">
        <w:rPr>
          <w:rFonts w:ascii="Times New Roman" w:hAnsi="Times New Roman" w:cs="Times New Roman"/>
          <w:sz w:val="24"/>
          <w:szCs w:val="24"/>
        </w:rPr>
        <w:t xml:space="preserve">, es necesario indagar sobre las </w:t>
      </w:r>
      <w:r w:rsidRPr="00B46475">
        <w:rPr>
          <w:rFonts w:ascii="Times New Roman" w:hAnsi="Times New Roman" w:cs="Times New Roman"/>
          <w:sz w:val="24"/>
          <w:szCs w:val="24"/>
        </w:rPr>
        <w:t xml:space="preserve">causas por las cuales </w:t>
      </w:r>
      <w:r w:rsidR="00347288">
        <w:rPr>
          <w:rFonts w:ascii="Times New Roman" w:hAnsi="Times New Roman" w:cs="Times New Roman"/>
          <w:sz w:val="24"/>
          <w:szCs w:val="24"/>
        </w:rPr>
        <w:t xml:space="preserve">no se ha cumplido con los mandatos señalados en la norma y poder determinar </w:t>
      </w:r>
      <w:r w:rsidR="00DE49AF">
        <w:rPr>
          <w:rFonts w:ascii="Times New Roman" w:hAnsi="Times New Roman" w:cs="Times New Roman"/>
          <w:sz w:val="24"/>
          <w:szCs w:val="24"/>
        </w:rPr>
        <w:t xml:space="preserve">si el proyecto tecnológico </w:t>
      </w:r>
      <w:r w:rsidR="00347288">
        <w:rPr>
          <w:rFonts w:ascii="Times New Roman" w:hAnsi="Times New Roman" w:cs="Times New Roman"/>
          <w:sz w:val="24"/>
          <w:szCs w:val="24"/>
        </w:rPr>
        <w:t xml:space="preserve">tiene vocación de prosperidad </w:t>
      </w:r>
      <w:r w:rsidR="00DE49AF">
        <w:rPr>
          <w:rFonts w:ascii="Times New Roman" w:hAnsi="Times New Roman" w:cs="Times New Roman"/>
          <w:sz w:val="24"/>
          <w:szCs w:val="24"/>
        </w:rPr>
        <w:t xml:space="preserve">a corto, mediano o largo plazo. </w:t>
      </w:r>
    </w:p>
    <w:p w:rsidR="005410B3" w:rsidRPr="001227C6" w:rsidRDefault="00D3358A" w:rsidP="001227C6">
      <w:pPr>
        <w:pStyle w:val="Prrafodelista"/>
        <w:numPr>
          <w:ilvl w:val="0"/>
          <w:numId w:val="39"/>
        </w:numPr>
        <w:jc w:val="both"/>
        <w:rPr>
          <w:rFonts w:ascii="Times New Roman" w:hAnsi="Times New Roman"/>
          <w:b/>
          <w:sz w:val="24"/>
        </w:rPr>
      </w:pPr>
      <w:r w:rsidRPr="001227C6">
        <w:rPr>
          <w:rFonts w:ascii="Times New Roman" w:hAnsi="Times New Roman"/>
          <w:b/>
          <w:sz w:val="24"/>
        </w:rPr>
        <w:t>Palabras clave:</w:t>
      </w:r>
    </w:p>
    <w:p w:rsidR="00B46475" w:rsidRPr="00D3358A" w:rsidRDefault="00D3358A" w:rsidP="00D3358A">
      <w:pPr>
        <w:jc w:val="both"/>
        <w:rPr>
          <w:rFonts w:ascii="Times New Roman" w:hAnsi="Times New Roman" w:cs="Times New Roman"/>
          <w:sz w:val="24"/>
          <w:szCs w:val="24"/>
        </w:rPr>
      </w:pPr>
      <w:r w:rsidRPr="00D3358A">
        <w:rPr>
          <w:rFonts w:ascii="Times New Roman" w:hAnsi="Times New Roman" w:cs="Times New Roman"/>
          <w:sz w:val="24"/>
          <w:szCs w:val="24"/>
        </w:rPr>
        <w:t>Documento</w:t>
      </w:r>
      <w:r w:rsidR="00B46475" w:rsidRPr="00D3358A">
        <w:rPr>
          <w:rFonts w:ascii="Times New Roman" w:hAnsi="Times New Roman" w:cs="Times New Roman"/>
          <w:sz w:val="24"/>
          <w:szCs w:val="24"/>
        </w:rPr>
        <w:t xml:space="preserve"> electrónico, equivalencia funcional, Firma Electrónica, </w:t>
      </w:r>
      <w:r w:rsidRPr="00D3358A">
        <w:rPr>
          <w:rFonts w:ascii="Times New Roman" w:hAnsi="Times New Roman" w:cs="Times New Roman"/>
          <w:sz w:val="24"/>
          <w:szCs w:val="24"/>
        </w:rPr>
        <w:t>expediente judicial electrónico, justicia digital.</w:t>
      </w:r>
    </w:p>
    <w:p w:rsidR="005410B3" w:rsidRPr="001227C6" w:rsidRDefault="005410B3" w:rsidP="001227C6">
      <w:pPr>
        <w:pStyle w:val="Prrafodelista"/>
        <w:numPr>
          <w:ilvl w:val="0"/>
          <w:numId w:val="39"/>
        </w:numPr>
        <w:jc w:val="both"/>
        <w:rPr>
          <w:rFonts w:ascii="Times New Roman" w:hAnsi="Times New Roman"/>
          <w:b/>
          <w:sz w:val="24"/>
        </w:rPr>
      </w:pPr>
      <w:r w:rsidRPr="001227C6">
        <w:rPr>
          <w:rFonts w:ascii="Times New Roman" w:hAnsi="Times New Roman"/>
          <w:b/>
          <w:sz w:val="24"/>
        </w:rPr>
        <w:t>Planteamiento del problema y pregunta de investigación</w:t>
      </w:r>
      <w:r w:rsidR="00D3358A" w:rsidRPr="001227C6">
        <w:rPr>
          <w:rFonts w:ascii="Times New Roman" w:hAnsi="Times New Roman"/>
          <w:b/>
          <w:sz w:val="24"/>
        </w:rPr>
        <w:t>:</w:t>
      </w:r>
    </w:p>
    <w:p w:rsidR="009C15C8" w:rsidRPr="00287059" w:rsidRDefault="009C15C8" w:rsidP="009C15C8">
      <w:pPr>
        <w:widowControl w:val="0"/>
        <w:overflowPunct w:val="0"/>
        <w:autoSpaceDE w:val="0"/>
        <w:autoSpaceDN w:val="0"/>
        <w:adjustRightInd w:val="0"/>
        <w:spacing w:after="0" w:line="240" w:lineRule="auto"/>
        <w:jc w:val="both"/>
        <w:rPr>
          <w:rFonts w:ascii="Times New Roman" w:hAnsi="Times New Roman" w:cs="Times New Roman"/>
          <w:color w:val="000000"/>
          <w:sz w:val="24"/>
          <w:szCs w:val="24"/>
        </w:rPr>
      </w:pPr>
      <w:r w:rsidRPr="00287059">
        <w:rPr>
          <w:rFonts w:ascii="Times New Roman" w:hAnsi="Times New Roman" w:cs="Times New Roman"/>
          <w:color w:val="000000"/>
          <w:sz w:val="24"/>
          <w:szCs w:val="24"/>
        </w:rPr>
        <w:t xml:space="preserve">El uso de las tecnologías de la información y de las comunicaciones fue previsto y desarrollado por normas de gran relevancia jurídica como lo son el Código de Procedimiento Administrativo y de lo Contencioso Administrativo </w:t>
      </w:r>
      <w:r w:rsidR="00202DA7" w:rsidRPr="00287059">
        <w:rPr>
          <w:rFonts w:ascii="Times New Roman" w:hAnsi="Times New Roman" w:cs="Times New Roman"/>
          <w:color w:val="000000"/>
          <w:sz w:val="24"/>
          <w:szCs w:val="24"/>
        </w:rPr>
        <w:t>y,</w:t>
      </w:r>
      <w:r w:rsidR="00DE49AF">
        <w:rPr>
          <w:rFonts w:ascii="Times New Roman" w:hAnsi="Times New Roman" w:cs="Times New Roman"/>
          <w:color w:val="000000"/>
          <w:sz w:val="24"/>
          <w:szCs w:val="24"/>
        </w:rPr>
        <w:t xml:space="preserve"> </w:t>
      </w:r>
      <w:r w:rsidRPr="00287059">
        <w:rPr>
          <w:rFonts w:ascii="Times New Roman" w:hAnsi="Times New Roman" w:cs="Times New Roman"/>
          <w:color w:val="000000"/>
          <w:sz w:val="24"/>
          <w:szCs w:val="24"/>
        </w:rPr>
        <w:t xml:space="preserve">el Código General de Proceso. </w:t>
      </w:r>
    </w:p>
    <w:p w:rsidR="009C15C8" w:rsidRPr="00287059" w:rsidRDefault="009C15C8" w:rsidP="009C15C8">
      <w:pPr>
        <w:widowControl w:val="0"/>
        <w:overflowPunct w:val="0"/>
        <w:autoSpaceDE w:val="0"/>
        <w:autoSpaceDN w:val="0"/>
        <w:adjustRightInd w:val="0"/>
        <w:spacing w:after="0" w:line="240" w:lineRule="auto"/>
        <w:jc w:val="both"/>
        <w:rPr>
          <w:rFonts w:ascii="Times New Roman" w:hAnsi="Times New Roman" w:cs="Times New Roman"/>
          <w:color w:val="000000"/>
          <w:sz w:val="24"/>
          <w:szCs w:val="24"/>
        </w:rPr>
      </w:pPr>
    </w:p>
    <w:p w:rsidR="009C15C8" w:rsidRPr="00287059" w:rsidRDefault="009C15C8" w:rsidP="009C15C8">
      <w:pPr>
        <w:widowControl w:val="0"/>
        <w:overflowPunct w:val="0"/>
        <w:autoSpaceDE w:val="0"/>
        <w:autoSpaceDN w:val="0"/>
        <w:adjustRightInd w:val="0"/>
        <w:spacing w:after="0" w:line="240" w:lineRule="auto"/>
        <w:jc w:val="both"/>
        <w:rPr>
          <w:rFonts w:ascii="Times New Roman" w:hAnsi="Times New Roman" w:cs="Times New Roman"/>
          <w:color w:val="000000"/>
          <w:sz w:val="24"/>
          <w:szCs w:val="24"/>
        </w:rPr>
      </w:pPr>
      <w:r w:rsidRPr="00287059">
        <w:rPr>
          <w:rFonts w:ascii="Times New Roman" w:hAnsi="Times New Roman" w:cs="Times New Roman"/>
          <w:color w:val="000000"/>
          <w:sz w:val="24"/>
          <w:szCs w:val="24"/>
        </w:rPr>
        <w:t xml:space="preserve">En efecto, el CPACA establece que todas las actuaciones judiciales susceptibles de surtirse en forma escrita se podrán realizar a través de medios electrónicos, y que la Sala Administrativa del Consejo Superior de la Judicatura adoptará las medidas necesarias para que en un plazo no mayor de cinco (5) años, sea implementado el expediente judicial electrónico. </w:t>
      </w:r>
    </w:p>
    <w:p w:rsidR="009C15C8" w:rsidRPr="00287059" w:rsidRDefault="00287059" w:rsidP="009C15C8">
      <w:pPr>
        <w:pStyle w:val="NormalWeb"/>
        <w:shd w:val="clear" w:color="auto" w:fill="FFFFFF"/>
        <w:jc w:val="both"/>
        <w:rPr>
          <w:i/>
          <w:color w:val="000000"/>
        </w:rPr>
      </w:pPr>
      <w:r>
        <w:rPr>
          <w:color w:val="000000"/>
        </w:rPr>
        <w:t xml:space="preserve">Así mismo, </w:t>
      </w:r>
      <w:r w:rsidR="009C15C8" w:rsidRPr="00287059">
        <w:rPr>
          <w:color w:val="000000"/>
        </w:rPr>
        <w:t xml:space="preserve"> el Código General del Proceso señala que “</w:t>
      </w:r>
      <w:r w:rsidR="009C15C8" w:rsidRPr="00287059">
        <w:rPr>
          <w:i/>
          <w:color w:val="000000"/>
        </w:rPr>
        <w:t>en todas las actuaciones judiciales deberá procurarse el uso de las tecnologías de la información y las comunicaciones en la gestión y trámite de los procesos judiciales, con el fin de facilitar y agilizar el acceso a la justicia, así como ampliar su cobertura</w:t>
      </w:r>
      <w:r w:rsidR="009C15C8" w:rsidRPr="00287059">
        <w:rPr>
          <w:color w:val="000000"/>
        </w:rPr>
        <w:t>”</w:t>
      </w:r>
      <w:r w:rsidR="009C15C8" w:rsidRPr="00287059">
        <w:rPr>
          <w:rStyle w:val="Refdenotaalpie"/>
          <w:color w:val="000000"/>
        </w:rPr>
        <w:footnoteReference w:id="1"/>
      </w:r>
      <w:r w:rsidR="009C15C8" w:rsidRPr="00287059">
        <w:rPr>
          <w:color w:val="000000"/>
        </w:rPr>
        <w:t>. Para lo anterior señaló que “</w:t>
      </w:r>
      <w:r w:rsidR="009C15C8" w:rsidRPr="00287059">
        <w:rPr>
          <w:i/>
          <w:color w:val="000000"/>
        </w:rPr>
        <w:t>La Sala Administrativa del Consejo Superior de la Judicatura adoptará las medidas necesarias para procurar que al entrar en vigencia este código todas las autoridades judiciales cuenten con las condiciones técnicas necesarias para generar, archivar y comunicar mensajes de datos”</w:t>
      </w:r>
      <w:r w:rsidR="009C15C8" w:rsidRPr="00287059">
        <w:rPr>
          <w:rStyle w:val="Refdenotaalpie"/>
          <w:i/>
          <w:color w:val="000000"/>
        </w:rPr>
        <w:footnoteReference w:id="2"/>
      </w:r>
      <w:r w:rsidR="009C15C8" w:rsidRPr="00287059">
        <w:rPr>
          <w:i/>
          <w:color w:val="000000"/>
        </w:rPr>
        <w:t>.</w:t>
      </w:r>
    </w:p>
    <w:p w:rsidR="00435A9F" w:rsidRDefault="00287059" w:rsidP="005410B3">
      <w:pPr>
        <w:jc w:val="both"/>
        <w:rPr>
          <w:rFonts w:ascii="Times New Roman" w:hAnsi="Times New Roman" w:cs="Times New Roman"/>
          <w:sz w:val="24"/>
        </w:rPr>
      </w:pPr>
      <w:r>
        <w:rPr>
          <w:rFonts w:ascii="Times New Roman" w:hAnsi="Times New Roman" w:cs="Times New Roman"/>
          <w:sz w:val="24"/>
        </w:rPr>
        <w:lastRenderedPageBreak/>
        <w:t xml:space="preserve">Lo que pretenden las normas citadas, es implementación de  las tecnologías de la información  en las diferentes etapas de los procesos judiciales, esto es notificaciones, audiencias, presentación de escritos </w:t>
      </w:r>
      <w:r w:rsidR="00335F86">
        <w:rPr>
          <w:rFonts w:ascii="Times New Roman" w:hAnsi="Times New Roman" w:cs="Times New Roman"/>
          <w:sz w:val="24"/>
        </w:rPr>
        <w:t>etc.</w:t>
      </w:r>
      <w:r>
        <w:rPr>
          <w:rFonts w:ascii="Times New Roman" w:hAnsi="Times New Roman" w:cs="Times New Roman"/>
          <w:sz w:val="24"/>
        </w:rPr>
        <w:t>, en aras de una justicia moderna, eficiente y efectiva.</w:t>
      </w:r>
    </w:p>
    <w:p w:rsidR="00D74BC2" w:rsidRDefault="00287059" w:rsidP="005410B3">
      <w:pPr>
        <w:jc w:val="both"/>
        <w:rPr>
          <w:rFonts w:ascii="Times New Roman" w:hAnsi="Times New Roman"/>
          <w:sz w:val="24"/>
        </w:rPr>
      </w:pPr>
      <w:r>
        <w:rPr>
          <w:rFonts w:ascii="Times New Roman" w:hAnsi="Times New Roman"/>
          <w:sz w:val="24"/>
        </w:rPr>
        <w:t>Sin embargo, 5 años después de la entrada en</w:t>
      </w:r>
      <w:r w:rsidR="00DE49AF">
        <w:rPr>
          <w:rFonts w:ascii="Times New Roman" w:hAnsi="Times New Roman"/>
          <w:sz w:val="24"/>
        </w:rPr>
        <w:t xml:space="preserve"> vigencia de la L</w:t>
      </w:r>
      <w:r w:rsidR="00335F86">
        <w:rPr>
          <w:rFonts w:ascii="Times New Roman" w:hAnsi="Times New Roman"/>
          <w:sz w:val="24"/>
        </w:rPr>
        <w:t>ey 1437 de 2011</w:t>
      </w:r>
      <w:r>
        <w:rPr>
          <w:rFonts w:ascii="Times New Roman" w:hAnsi="Times New Roman"/>
          <w:sz w:val="24"/>
        </w:rPr>
        <w:t xml:space="preserve"> y </w:t>
      </w:r>
      <w:r w:rsidR="00DE49AF">
        <w:rPr>
          <w:rFonts w:ascii="Times New Roman" w:hAnsi="Times New Roman"/>
          <w:sz w:val="24"/>
        </w:rPr>
        <w:t xml:space="preserve">de la Ley </w:t>
      </w:r>
      <w:r w:rsidR="00335F86">
        <w:rPr>
          <w:rFonts w:ascii="Times New Roman" w:hAnsi="Times New Roman"/>
          <w:sz w:val="24"/>
        </w:rPr>
        <w:t xml:space="preserve">1564 de 2012, la Sala administrativa del Consejo Superior de la judicatura no ha implementado el plan de justicia digital ni el expediente judicial electrónico. </w:t>
      </w:r>
    </w:p>
    <w:p w:rsidR="00D3358A" w:rsidRDefault="00435A9F" w:rsidP="001227C6">
      <w:pPr>
        <w:pStyle w:val="Prrafodelista"/>
        <w:numPr>
          <w:ilvl w:val="0"/>
          <w:numId w:val="39"/>
        </w:numPr>
        <w:jc w:val="both"/>
        <w:rPr>
          <w:rFonts w:ascii="Times New Roman" w:hAnsi="Times New Roman"/>
          <w:sz w:val="24"/>
        </w:rPr>
      </w:pPr>
      <w:r w:rsidRPr="001227C6">
        <w:rPr>
          <w:rFonts w:ascii="Times New Roman" w:hAnsi="Times New Roman"/>
          <w:b/>
          <w:sz w:val="24"/>
        </w:rPr>
        <w:t>Pregunta de investigación</w:t>
      </w:r>
      <w:r w:rsidRPr="001227C6">
        <w:rPr>
          <w:rFonts w:ascii="Times New Roman" w:hAnsi="Times New Roman"/>
          <w:sz w:val="24"/>
        </w:rPr>
        <w:t xml:space="preserve">: </w:t>
      </w:r>
      <w:r w:rsidR="00D3358A" w:rsidRPr="001227C6">
        <w:rPr>
          <w:rFonts w:ascii="Times New Roman" w:hAnsi="Times New Roman"/>
          <w:sz w:val="24"/>
        </w:rPr>
        <w:t xml:space="preserve">Cuales son las razones por las cuales </w:t>
      </w:r>
      <w:r w:rsidRPr="001227C6">
        <w:rPr>
          <w:rFonts w:ascii="Times New Roman" w:hAnsi="Times New Roman"/>
          <w:sz w:val="24"/>
        </w:rPr>
        <w:t xml:space="preserve">no se ha cumplido con el mandato legal de implementar el expediente electrónico en la jurisdicción contenciosa administrativa?  </w:t>
      </w:r>
    </w:p>
    <w:p w:rsidR="001227C6" w:rsidRPr="001227C6" w:rsidRDefault="001227C6" w:rsidP="001227C6">
      <w:pPr>
        <w:pStyle w:val="Prrafodelista"/>
        <w:jc w:val="both"/>
        <w:rPr>
          <w:rFonts w:ascii="Times New Roman" w:hAnsi="Times New Roman"/>
          <w:sz w:val="24"/>
        </w:rPr>
      </w:pPr>
    </w:p>
    <w:p w:rsidR="005410B3" w:rsidRPr="001227C6" w:rsidRDefault="00335F86" w:rsidP="001227C6">
      <w:pPr>
        <w:pStyle w:val="Prrafodelista"/>
        <w:numPr>
          <w:ilvl w:val="0"/>
          <w:numId w:val="39"/>
        </w:numPr>
        <w:jc w:val="both"/>
        <w:rPr>
          <w:rFonts w:ascii="Times New Roman" w:hAnsi="Times New Roman"/>
          <w:b/>
          <w:sz w:val="24"/>
        </w:rPr>
      </w:pPr>
      <w:r w:rsidRPr="001227C6">
        <w:rPr>
          <w:rFonts w:ascii="Times New Roman" w:hAnsi="Times New Roman"/>
          <w:b/>
          <w:sz w:val="24"/>
        </w:rPr>
        <w:t>Justificación:</w:t>
      </w:r>
    </w:p>
    <w:p w:rsidR="00093A5D" w:rsidRPr="00093A5D" w:rsidRDefault="00093A5D" w:rsidP="00093A5D">
      <w:pPr>
        <w:jc w:val="both"/>
        <w:rPr>
          <w:rFonts w:ascii="Times New Roman" w:hAnsi="Times New Roman"/>
          <w:sz w:val="24"/>
        </w:rPr>
      </w:pPr>
      <w:r w:rsidRPr="00093A5D">
        <w:rPr>
          <w:rFonts w:ascii="Times New Roman" w:hAnsi="Times New Roman"/>
          <w:sz w:val="24"/>
        </w:rPr>
        <w:t>La  Comisión de las Naciones Unidas para el Derecho Mercantil Internacional (CNUDMI), desde hace varios años viene trabajando en la elaboración de convenciones y leyes modelo, con el fin de regular aspectos de gran importancia para la actividad jurisdiccional como lo son el documento electrónico, las firmas electrónicas y las firmas digitales.</w:t>
      </w:r>
    </w:p>
    <w:p w:rsidR="00093A5D" w:rsidRPr="00093A5D" w:rsidRDefault="00093A5D" w:rsidP="00093A5D">
      <w:pPr>
        <w:jc w:val="both"/>
        <w:rPr>
          <w:rFonts w:ascii="Times New Roman" w:hAnsi="Times New Roman"/>
          <w:sz w:val="24"/>
        </w:rPr>
      </w:pPr>
      <w:r w:rsidRPr="00093A5D">
        <w:rPr>
          <w:rFonts w:ascii="Times New Roman" w:hAnsi="Times New Roman"/>
          <w:sz w:val="24"/>
        </w:rPr>
        <w:t>En efecto, la utilización de los medios electrónicos ha traído grandes ventajas, pues reducen significativamente el uso del papel. Según estudios realizados, la industria papelera se ubica dentro de las más contaminantes del mundo. Una sola hoja de papel blanco requiere 370 cm de agua limpia para ser producida, un árbol sirve para producir 16 resmas de papel y en promedio un oficinista imprime unas 10 mil hojas al año.</w:t>
      </w:r>
    </w:p>
    <w:p w:rsidR="00093A5D" w:rsidRPr="00093A5D" w:rsidRDefault="00093A5D" w:rsidP="00093A5D">
      <w:pPr>
        <w:jc w:val="both"/>
        <w:rPr>
          <w:rFonts w:ascii="Times New Roman" w:hAnsi="Times New Roman"/>
          <w:sz w:val="24"/>
        </w:rPr>
      </w:pPr>
      <w:r w:rsidRPr="00093A5D">
        <w:rPr>
          <w:rFonts w:ascii="Times New Roman" w:hAnsi="Times New Roman"/>
          <w:sz w:val="24"/>
        </w:rPr>
        <w:t xml:space="preserve">Conscientes de lo anterior, varias entidades como la Superintendencia de Industria y Comercio  implementó dentro el expediente electrónico  a través de la plataforma SWORD, lo que le ha permitido a la Entidad, adelantar más de 1.600 procesos administrativos en materia de propiedad industrial, resolviendo de manera más ágil estos litigios y reduciendo considerablemente el uso del papel. </w:t>
      </w:r>
    </w:p>
    <w:p w:rsidR="00093A5D" w:rsidRPr="00093A5D" w:rsidRDefault="00093A5D" w:rsidP="00093A5D">
      <w:pPr>
        <w:jc w:val="both"/>
        <w:rPr>
          <w:rFonts w:ascii="Times New Roman" w:hAnsi="Times New Roman"/>
          <w:sz w:val="24"/>
        </w:rPr>
      </w:pPr>
      <w:r w:rsidRPr="00093A5D">
        <w:rPr>
          <w:rFonts w:ascii="Times New Roman" w:hAnsi="Times New Roman"/>
          <w:sz w:val="24"/>
        </w:rPr>
        <w:t xml:space="preserve">Ahora bien, en la rama judicial se adelantan más de 100.000 procesos judiciales los cuales se tramitan en medios físicos, lo que implica un alto consumo de papel y la necesidad de contar con amplia infraestructura para almacenar todos los expedientes activos e inactivos. </w:t>
      </w:r>
    </w:p>
    <w:p w:rsidR="00335F86" w:rsidRDefault="00093A5D" w:rsidP="00093A5D">
      <w:pPr>
        <w:jc w:val="both"/>
        <w:rPr>
          <w:rFonts w:ascii="Times New Roman" w:hAnsi="Times New Roman"/>
          <w:sz w:val="24"/>
        </w:rPr>
      </w:pPr>
      <w:r>
        <w:rPr>
          <w:rFonts w:ascii="Times New Roman" w:hAnsi="Times New Roman"/>
          <w:sz w:val="24"/>
        </w:rPr>
        <w:t>En conclusión, l</w:t>
      </w:r>
      <w:r w:rsidRPr="00093A5D">
        <w:rPr>
          <w:rFonts w:ascii="Times New Roman" w:hAnsi="Times New Roman"/>
          <w:sz w:val="24"/>
        </w:rPr>
        <w:t>a rama judicial tiene la obligación de propender por la implementación de procesos virtuales innovadores, agiles y eficientes que protejan el medio ambiente y se desarrollen entornos seguros, contribuyendo así con la construcción de un Estado más eficiente, trasparente y participativo al servicio del ciudadano.</w:t>
      </w:r>
    </w:p>
    <w:p w:rsidR="00335F86" w:rsidRDefault="00335F86" w:rsidP="005410B3">
      <w:pPr>
        <w:jc w:val="both"/>
        <w:rPr>
          <w:rFonts w:ascii="Times New Roman" w:hAnsi="Times New Roman"/>
          <w:sz w:val="24"/>
        </w:rPr>
      </w:pPr>
    </w:p>
    <w:p w:rsidR="00093A5D" w:rsidRDefault="00093A5D" w:rsidP="005410B3">
      <w:pPr>
        <w:jc w:val="both"/>
        <w:rPr>
          <w:rFonts w:ascii="Times New Roman" w:hAnsi="Times New Roman"/>
          <w:sz w:val="24"/>
        </w:rPr>
      </w:pPr>
    </w:p>
    <w:p w:rsidR="005410B3" w:rsidRPr="001227C6" w:rsidRDefault="005410B3" w:rsidP="001227C6">
      <w:pPr>
        <w:pStyle w:val="Prrafodelista"/>
        <w:numPr>
          <w:ilvl w:val="0"/>
          <w:numId w:val="40"/>
        </w:numPr>
        <w:jc w:val="both"/>
        <w:rPr>
          <w:rFonts w:ascii="Times New Roman" w:hAnsi="Times New Roman"/>
          <w:b/>
          <w:sz w:val="24"/>
        </w:rPr>
      </w:pPr>
      <w:r w:rsidRPr="001227C6">
        <w:rPr>
          <w:rFonts w:ascii="Times New Roman" w:hAnsi="Times New Roman"/>
          <w:b/>
          <w:sz w:val="24"/>
        </w:rPr>
        <w:t>Objetivo general</w:t>
      </w:r>
      <w:r w:rsidR="00093A5D" w:rsidRPr="001227C6">
        <w:rPr>
          <w:rFonts w:ascii="Times New Roman" w:hAnsi="Times New Roman"/>
          <w:b/>
          <w:sz w:val="24"/>
        </w:rPr>
        <w:t>.</w:t>
      </w:r>
    </w:p>
    <w:p w:rsidR="00093A5D" w:rsidRDefault="00093A5D" w:rsidP="00093A5D">
      <w:pPr>
        <w:jc w:val="both"/>
        <w:rPr>
          <w:rFonts w:ascii="Times New Roman" w:hAnsi="Times New Roman"/>
          <w:sz w:val="24"/>
        </w:rPr>
      </w:pPr>
      <w:r>
        <w:rPr>
          <w:rFonts w:ascii="Times New Roman" w:hAnsi="Times New Roman"/>
          <w:sz w:val="24"/>
        </w:rPr>
        <w:t xml:space="preserve">Determinar cuáles son las razones por las cuales no se ha cumplido con el mandato legal de implementar el expediente electrónico en la jurisdicción contenciosa administrativa?  </w:t>
      </w:r>
    </w:p>
    <w:p w:rsidR="00093A5D" w:rsidRDefault="00093A5D" w:rsidP="005410B3">
      <w:pPr>
        <w:jc w:val="both"/>
        <w:rPr>
          <w:rFonts w:ascii="Times New Roman" w:hAnsi="Times New Roman"/>
          <w:sz w:val="24"/>
        </w:rPr>
      </w:pPr>
    </w:p>
    <w:p w:rsidR="005410B3" w:rsidRPr="001227C6" w:rsidRDefault="005410B3" w:rsidP="001227C6">
      <w:pPr>
        <w:pStyle w:val="Prrafodelista"/>
        <w:numPr>
          <w:ilvl w:val="0"/>
          <w:numId w:val="40"/>
        </w:numPr>
        <w:jc w:val="both"/>
        <w:rPr>
          <w:rFonts w:ascii="Times New Roman" w:hAnsi="Times New Roman"/>
          <w:b/>
          <w:sz w:val="24"/>
        </w:rPr>
      </w:pPr>
      <w:r w:rsidRPr="001227C6">
        <w:rPr>
          <w:rFonts w:ascii="Times New Roman" w:hAnsi="Times New Roman"/>
          <w:b/>
          <w:sz w:val="24"/>
        </w:rPr>
        <w:t>Objetivos específicos</w:t>
      </w:r>
    </w:p>
    <w:p w:rsidR="00600C5C" w:rsidRDefault="00600C5C" w:rsidP="005410B3">
      <w:pPr>
        <w:jc w:val="both"/>
        <w:rPr>
          <w:rFonts w:ascii="Times New Roman" w:hAnsi="Times New Roman"/>
          <w:sz w:val="24"/>
        </w:rPr>
      </w:pPr>
      <w:r w:rsidRPr="00600C5C">
        <w:rPr>
          <w:rFonts w:ascii="Times New Roman" w:hAnsi="Times New Roman"/>
          <w:sz w:val="24"/>
        </w:rPr>
        <w:t xml:space="preserve">1.  Identificar la normatividad que rige las actuaciones por medios electrónicos y su utilización en las diferentes jurisdicciones. </w:t>
      </w:r>
    </w:p>
    <w:p w:rsidR="00600C5C" w:rsidRDefault="00600C5C" w:rsidP="005410B3">
      <w:pPr>
        <w:jc w:val="both"/>
        <w:rPr>
          <w:rFonts w:ascii="Times New Roman" w:hAnsi="Times New Roman"/>
          <w:sz w:val="24"/>
        </w:rPr>
      </w:pPr>
      <w:r>
        <w:rPr>
          <w:rFonts w:ascii="Times New Roman" w:hAnsi="Times New Roman"/>
          <w:sz w:val="24"/>
        </w:rPr>
        <w:t xml:space="preserve">2. </w:t>
      </w:r>
      <w:r w:rsidR="00964593">
        <w:rPr>
          <w:rFonts w:ascii="Times New Roman" w:hAnsi="Times New Roman"/>
          <w:sz w:val="24"/>
        </w:rPr>
        <w:t xml:space="preserve">Analizar la aplicación de principios fundamentales como la equivalencia funcional y neutralidad tecnológica en la implementación de las nuevas tecnologías. </w:t>
      </w:r>
    </w:p>
    <w:p w:rsidR="00532787" w:rsidRDefault="00964593" w:rsidP="005410B3">
      <w:pPr>
        <w:jc w:val="both"/>
        <w:rPr>
          <w:rFonts w:ascii="Times New Roman" w:hAnsi="Times New Roman"/>
          <w:sz w:val="24"/>
        </w:rPr>
      </w:pPr>
      <w:r>
        <w:rPr>
          <w:rFonts w:ascii="Times New Roman" w:hAnsi="Times New Roman"/>
          <w:sz w:val="24"/>
        </w:rPr>
        <w:t>3. Es</w:t>
      </w:r>
      <w:r w:rsidR="00532787">
        <w:rPr>
          <w:rFonts w:ascii="Times New Roman" w:hAnsi="Times New Roman"/>
          <w:sz w:val="24"/>
        </w:rPr>
        <w:t xml:space="preserve">tudiar cuales son </w:t>
      </w:r>
      <w:r>
        <w:rPr>
          <w:rFonts w:ascii="Times New Roman" w:hAnsi="Times New Roman"/>
          <w:sz w:val="24"/>
        </w:rPr>
        <w:t xml:space="preserve">proyectos que hasta la fecha se han </w:t>
      </w:r>
      <w:r w:rsidR="00532787">
        <w:rPr>
          <w:rFonts w:ascii="Times New Roman" w:hAnsi="Times New Roman"/>
          <w:sz w:val="24"/>
        </w:rPr>
        <w:t>adelantado por la rama judicial para la implementación del expediente electrónico y así determinar cuál es la situación actual del expediente electrónico en la rama judicial.</w:t>
      </w:r>
    </w:p>
    <w:p w:rsidR="00532787" w:rsidRPr="00600C5C" w:rsidRDefault="003B1433" w:rsidP="005410B3">
      <w:pPr>
        <w:jc w:val="both"/>
        <w:rPr>
          <w:rFonts w:ascii="Times New Roman" w:hAnsi="Times New Roman"/>
          <w:sz w:val="24"/>
        </w:rPr>
      </w:pPr>
      <w:r>
        <w:rPr>
          <w:rFonts w:ascii="Times New Roman" w:hAnsi="Times New Roman"/>
          <w:sz w:val="24"/>
        </w:rPr>
        <w:t xml:space="preserve">4. Diseñar </w:t>
      </w:r>
      <w:r w:rsidR="00532787">
        <w:rPr>
          <w:rFonts w:ascii="Times New Roman" w:hAnsi="Times New Roman"/>
          <w:sz w:val="24"/>
        </w:rPr>
        <w:t xml:space="preserve"> herramienta</w:t>
      </w:r>
      <w:r>
        <w:rPr>
          <w:rFonts w:ascii="Times New Roman" w:hAnsi="Times New Roman"/>
          <w:sz w:val="24"/>
        </w:rPr>
        <w:t>s</w:t>
      </w:r>
      <w:r w:rsidR="00532787">
        <w:rPr>
          <w:rFonts w:ascii="Times New Roman" w:hAnsi="Times New Roman"/>
          <w:sz w:val="24"/>
        </w:rPr>
        <w:t xml:space="preserve"> tecnológica</w:t>
      </w:r>
      <w:r>
        <w:rPr>
          <w:rFonts w:ascii="Times New Roman" w:hAnsi="Times New Roman"/>
          <w:sz w:val="24"/>
        </w:rPr>
        <w:t>s</w:t>
      </w:r>
      <w:r w:rsidR="00532787">
        <w:rPr>
          <w:rFonts w:ascii="Times New Roman" w:hAnsi="Times New Roman"/>
          <w:sz w:val="24"/>
        </w:rPr>
        <w:t xml:space="preserve"> </w:t>
      </w:r>
      <w:r>
        <w:rPr>
          <w:rFonts w:ascii="Times New Roman" w:hAnsi="Times New Roman"/>
          <w:sz w:val="24"/>
        </w:rPr>
        <w:t xml:space="preserve">que permitan  adelantar el proceso contencioso administrativo en condiciones de seguridad y fidelidad. </w:t>
      </w:r>
    </w:p>
    <w:p w:rsidR="005410B3" w:rsidRPr="001227C6" w:rsidRDefault="005410B3" w:rsidP="001227C6">
      <w:pPr>
        <w:pStyle w:val="Prrafodelista"/>
        <w:numPr>
          <w:ilvl w:val="0"/>
          <w:numId w:val="40"/>
        </w:numPr>
        <w:jc w:val="both"/>
        <w:rPr>
          <w:rFonts w:ascii="Times New Roman" w:hAnsi="Times New Roman"/>
          <w:b/>
          <w:sz w:val="24"/>
        </w:rPr>
      </w:pPr>
      <w:r w:rsidRPr="001227C6">
        <w:rPr>
          <w:rFonts w:ascii="Times New Roman" w:hAnsi="Times New Roman"/>
          <w:b/>
          <w:sz w:val="24"/>
        </w:rPr>
        <w:t>Marco teórico</w:t>
      </w:r>
    </w:p>
    <w:p w:rsidR="003B1433" w:rsidRPr="003B1433" w:rsidRDefault="003B1433" w:rsidP="003B1433">
      <w:pPr>
        <w:jc w:val="both"/>
        <w:rPr>
          <w:rFonts w:ascii="Times New Roman" w:hAnsi="Times New Roman"/>
          <w:sz w:val="24"/>
        </w:rPr>
      </w:pPr>
      <w:r w:rsidRPr="003B1433">
        <w:rPr>
          <w:rFonts w:ascii="Times New Roman" w:hAnsi="Times New Roman"/>
          <w:sz w:val="24"/>
        </w:rPr>
        <w:t>A través de la historia de la humanidad el hombre ha utilizado diferentes formas de comunicarse. Los avances logrados en el área de telecomunicaciones han permitido que el hombre se desempeñe de una manera más eficiente, y es esta eficiencia lo que en gran medida ha motivado a empresas nuevas que día a día exigen mayores retos a quienes lo desarrollan. De esta forma se ha llegado a alternativas de gran impacto a través del tiempo como son: Internet, fibra óptica, telefonía celular, televisión por cable, etc.</w:t>
      </w:r>
    </w:p>
    <w:p w:rsidR="003B1433" w:rsidRPr="003B1433" w:rsidRDefault="003B1433" w:rsidP="003B1433">
      <w:pPr>
        <w:jc w:val="both"/>
        <w:rPr>
          <w:rFonts w:ascii="Times New Roman" w:hAnsi="Times New Roman"/>
          <w:sz w:val="24"/>
        </w:rPr>
      </w:pPr>
      <w:r w:rsidRPr="003B1433">
        <w:rPr>
          <w:rFonts w:ascii="Times New Roman" w:hAnsi="Times New Roman"/>
          <w:sz w:val="24"/>
        </w:rPr>
        <w:t>El intercambio de bienes y servicios a través de medios electrónicos, no es una práctica reciente.  Si bien los computadores, como tecnología avanzada, comenzaron  a usarse masivamente en la década de los años 1980, también es cierto que ciento cincuenta años antes se había inventado el telégrafo y el teléfono, de manera que muchas cuestiones relativas a la formación de los contratos, comenzaron a resolverse en aquella época y han servido hasta ahora,  en cierta media, como precedentes.</w:t>
      </w:r>
    </w:p>
    <w:p w:rsidR="003B1433" w:rsidRDefault="003B1433" w:rsidP="003B1433">
      <w:pPr>
        <w:jc w:val="both"/>
        <w:rPr>
          <w:rFonts w:ascii="Times New Roman" w:hAnsi="Times New Roman"/>
          <w:sz w:val="24"/>
        </w:rPr>
      </w:pPr>
      <w:r>
        <w:rPr>
          <w:rFonts w:ascii="Times New Roman" w:hAnsi="Times New Roman"/>
          <w:sz w:val="24"/>
        </w:rPr>
        <w:lastRenderedPageBreak/>
        <w:t xml:space="preserve">La utilización de medios electrónicos </w:t>
      </w:r>
      <w:r w:rsidR="00360A2A">
        <w:rPr>
          <w:rFonts w:ascii="Times New Roman" w:hAnsi="Times New Roman"/>
          <w:sz w:val="24"/>
        </w:rPr>
        <w:t xml:space="preserve">en las actuaciones judiciales </w:t>
      </w:r>
      <w:r w:rsidRPr="003B1433">
        <w:rPr>
          <w:rFonts w:ascii="Times New Roman" w:hAnsi="Times New Roman"/>
          <w:sz w:val="24"/>
        </w:rPr>
        <w:t>obliga claramente a replantearse muchas de las cuestiones de</w:t>
      </w:r>
      <w:r w:rsidR="00360A2A">
        <w:rPr>
          <w:rFonts w:ascii="Times New Roman" w:hAnsi="Times New Roman"/>
          <w:sz w:val="24"/>
        </w:rPr>
        <w:t xml:space="preserve">l proceso tradicional </w:t>
      </w:r>
      <w:r w:rsidRPr="003B1433">
        <w:rPr>
          <w:rFonts w:ascii="Times New Roman" w:hAnsi="Times New Roman"/>
          <w:sz w:val="24"/>
        </w:rPr>
        <w:t xml:space="preserve">ya que surgen nuevos problemas y se han </w:t>
      </w:r>
      <w:r w:rsidR="00360A2A" w:rsidRPr="003B1433">
        <w:rPr>
          <w:rFonts w:ascii="Times New Roman" w:hAnsi="Times New Roman"/>
          <w:sz w:val="24"/>
        </w:rPr>
        <w:t>agudizado</w:t>
      </w:r>
      <w:r w:rsidRPr="003B1433">
        <w:rPr>
          <w:rFonts w:ascii="Times New Roman" w:hAnsi="Times New Roman"/>
          <w:sz w:val="24"/>
        </w:rPr>
        <w:t xml:space="preserve"> algunos de los ya existentes. </w:t>
      </w:r>
    </w:p>
    <w:p w:rsidR="00E433D1" w:rsidRPr="00E433D1" w:rsidRDefault="00E433D1" w:rsidP="00E433D1">
      <w:pPr>
        <w:jc w:val="both"/>
        <w:rPr>
          <w:rFonts w:ascii="Times New Roman" w:hAnsi="Times New Roman"/>
          <w:sz w:val="24"/>
        </w:rPr>
      </w:pPr>
      <w:r>
        <w:rPr>
          <w:rFonts w:ascii="Times New Roman" w:hAnsi="Times New Roman"/>
          <w:sz w:val="24"/>
        </w:rPr>
        <w:t xml:space="preserve">Ahora bien, </w:t>
      </w:r>
      <w:r w:rsidRPr="00E433D1">
        <w:rPr>
          <w:rFonts w:ascii="Times New Roman" w:hAnsi="Times New Roman"/>
          <w:sz w:val="24"/>
        </w:rPr>
        <w:t>El Principio de equivalencia funcional es considerado como la piedra angular del comercio electrónico; de él se derivan las disposiciones fundamentales que regulan esta nueva actividad mercantil.</w:t>
      </w:r>
    </w:p>
    <w:p w:rsidR="00E433D1" w:rsidRPr="00E433D1" w:rsidRDefault="00E433D1" w:rsidP="00E433D1">
      <w:pPr>
        <w:jc w:val="both"/>
        <w:rPr>
          <w:rFonts w:ascii="Times New Roman" w:hAnsi="Times New Roman"/>
          <w:sz w:val="24"/>
        </w:rPr>
      </w:pPr>
      <w:r w:rsidRPr="00E433D1">
        <w:rPr>
          <w:rFonts w:ascii="Times New Roman" w:hAnsi="Times New Roman"/>
          <w:sz w:val="24"/>
        </w:rPr>
        <w:tab/>
        <w:t>El denominado principio de equivalencia funcional supone un paso más concreto respecto del principio de no discriminación. Contiene una manifestación afirmativa de la producción efectiva de determinados efectos jurídicos de una información que consta en soporte electrónico. (Madrid, P. 1998)</w:t>
      </w:r>
    </w:p>
    <w:p w:rsidR="00E433D1" w:rsidRPr="00E433D1" w:rsidRDefault="00E433D1" w:rsidP="00E433D1">
      <w:pPr>
        <w:jc w:val="both"/>
        <w:rPr>
          <w:rFonts w:ascii="Times New Roman" w:hAnsi="Times New Roman"/>
          <w:sz w:val="24"/>
        </w:rPr>
      </w:pPr>
      <w:r w:rsidRPr="00E433D1">
        <w:rPr>
          <w:rFonts w:ascii="Times New Roman" w:hAnsi="Times New Roman"/>
          <w:sz w:val="24"/>
        </w:rPr>
        <w:tab/>
        <w:t>Podemos decir entonces que en virtud de este principio no se debe discriminar a los mensajes de datos independientemente del soporte en el que se encuentren ya que las funciones que cumplen los documentos en papel, igualmente las pueden ofrecer las consignadas en medios electrónico e incluso con una seguridad mayor a la brindan los medios tradicionales .</w:t>
      </w:r>
    </w:p>
    <w:p w:rsidR="00E433D1" w:rsidRPr="00E433D1" w:rsidRDefault="00E433D1" w:rsidP="00E433D1">
      <w:pPr>
        <w:jc w:val="both"/>
        <w:rPr>
          <w:rFonts w:ascii="Times New Roman" w:hAnsi="Times New Roman"/>
          <w:sz w:val="24"/>
        </w:rPr>
      </w:pPr>
      <w:r w:rsidRPr="00E433D1">
        <w:rPr>
          <w:rFonts w:ascii="Times New Roman" w:hAnsi="Times New Roman"/>
          <w:sz w:val="24"/>
        </w:rPr>
        <w:tab/>
        <w:t xml:space="preserve">La legislación colombiana consagra el principio de la equivalencia funcional entre los documentos escritos y los documentos electrónicos, en el artículo 5º de la LCCE, a cuyo tenor literal se expresa que: </w:t>
      </w:r>
    </w:p>
    <w:p w:rsidR="00E433D1" w:rsidRPr="00E433D1" w:rsidRDefault="00E433D1" w:rsidP="00E433D1">
      <w:pPr>
        <w:jc w:val="both"/>
        <w:rPr>
          <w:rFonts w:ascii="Times New Roman" w:hAnsi="Times New Roman"/>
          <w:sz w:val="24"/>
        </w:rPr>
      </w:pPr>
      <w:r w:rsidRPr="00E433D1">
        <w:rPr>
          <w:rFonts w:ascii="Times New Roman" w:hAnsi="Times New Roman"/>
          <w:sz w:val="24"/>
        </w:rPr>
        <w:tab/>
        <w:t>“No se negará efecto jurídico, validez o fuerza obligatoria a todo tipo de información por la sola razón de que esté en forma de mensaje de datos”, entendiendo por mensaje de datos “la información  generada, enviada, recibida, almacenada o comunicada por medios electrónicos, ópticos o similares como pudieran ser, entre otros, el Intercambio Electrónico de Datos (EDI) , Internet, el correo electrónico, el telegrama, el télex o el telefax” .</w:t>
      </w:r>
    </w:p>
    <w:p w:rsidR="00E433D1" w:rsidRPr="00E433D1" w:rsidRDefault="00E433D1" w:rsidP="00E433D1">
      <w:pPr>
        <w:jc w:val="both"/>
        <w:rPr>
          <w:rFonts w:ascii="Times New Roman" w:hAnsi="Times New Roman"/>
          <w:sz w:val="24"/>
        </w:rPr>
      </w:pPr>
      <w:r w:rsidRPr="00E433D1">
        <w:rPr>
          <w:rFonts w:ascii="Times New Roman" w:hAnsi="Times New Roman"/>
          <w:sz w:val="24"/>
        </w:rPr>
        <w:tab/>
        <w:t xml:space="preserve">El mensaje electrónico según este artículo, es un documento y participa  de la naturaleza  de los escritos, siempre y cuando se pueda materializar en papel escrito por los procedimientos técnicos adecuados (Moreno, M. 1999).  La fórmula negativa del artículo antes trascrito, establece claramente el principio de la equivalencia funcional entre los documentos escritos de forma autógrafa y los mensajes de datos electrónicos, pues se trata de establecer no ya la equiparación absoluta  entre el  soporte material y el electrónico, habida cuenta de su diversa naturaleza, sino entre las funciones comerciales y jurídicas  que uno y otro puedan desempeñar.  </w:t>
      </w:r>
    </w:p>
    <w:p w:rsidR="00E433D1" w:rsidRPr="00E433D1" w:rsidRDefault="00E433D1" w:rsidP="00E433D1">
      <w:pPr>
        <w:jc w:val="both"/>
        <w:rPr>
          <w:rFonts w:ascii="Times New Roman" w:hAnsi="Times New Roman"/>
          <w:sz w:val="24"/>
        </w:rPr>
      </w:pPr>
      <w:r w:rsidRPr="00E433D1">
        <w:rPr>
          <w:rFonts w:ascii="Times New Roman" w:hAnsi="Times New Roman"/>
          <w:sz w:val="24"/>
        </w:rPr>
        <w:tab/>
        <w:t xml:space="preserve">Posteriormente, el artículo 6º de la misma ley nos dice que  “cuando cualquier norma  requiera que la información conste por escrito, ese requisito quedará satisfecho con un </w:t>
      </w:r>
      <w:r w:rsidRPr="00E433D1">
        <w:rPr>
          <w:rFonts w:ascii="Times New Roman" w:hAnsi="Times New Roman"/>
          <w:sz w:val="24"/>
        </w:rPr>
        <w:lastRenderedPageBreak/>
        <w:t>mensaje de datos, si la información  que éste contiene  es accesible para su posterior consulta</w:t>
      </w:r>
      <w:r w:rsidR="00202DA7" w:rsidRPr="00E433D1">
        <w:rPr>
          <w:rFonts w:ascii="Times New Roman" w:hAnsi="Times New Roman"/>
          <w:sz w:val="24"/>
        </w:rPr>
        <w:t>”.</w:t>
      </w:r>
    </w:p>
    <w:p w:rsidR="00E433D1" w:rsidRPr="00E433D1" w:rsidRDefault="00E433D1" w:rsidP="00E433D1">
      <w:pPr>
        <w:jc w:val="both"/>
        <w:rPr>
          <w:rFonts w:ascii="Times New Roman" w:hAnsi="Times New Roman"/>
          <w:sz w:val="24"/>
        </w:rPr>
      </w:pPr>
      <w:r w:rsidRPr="00E433D1">
        <w:rPr>
          <w:rFonts w:ascii="Times New Roman" w:hAnsi="Times New Roman"/>
          <w:sz w:val="24"/>
        </w:rPr>
        <w:tab/>
        <w:t>Así pues, la ley no trata de consagrar un equivalente informático para todo tipo de documento emitido sobre papel, sino lo que pretende es, que una vez conocida la función que desempeñan los requisitos formales propios de la documentación tradicional, tratar de precisar cuáles de estos criterios permiten la atribución a este de un reconocimiento legal equivalente al de la documentación sobre papel (Martín Castro, M. P. 2000).</w:t>
      </w:r>
    </w:p>
    <w:p w:rsidR="00E433D1" w:rsidRPr="00E433D1" w:rsidRDefault="00E433D1" w:rsidP="00E433D1">
      <w:pPr>
        <w:jc w:val="both"/>
        <w:rPr>
          <w:rFonts w:ascii="Times New Roman" w:hAnsi="Times New Roman"/>
          <w:sz w:val="24"/>
        </w:rPr>
      </w:pPr>
      <w:r w:rsidRPr="00E433D1">
        <w:rPr>
          <w:rFonts w:ascii="Times New Roman" w:hAnsi="Times New Roman"/>
          <w:sz w:val="24"/>
        </w:rPr>
        <w:tab/>
        <w:t>El único requisito que establece la ley, a fin de equiparar los mensajes de datos a la información que conste por escrito, es que esta información sea accesible para su posterior consulta, sin embargo no establece el término por el cual deba permanecer la información para efectos de dicha consulta.</w:t>
      </w:r>
    </w:p>
    <w:p w:rsidR="00E433D1" w:rsidRPr="00E433D1" w:rsidRDefault="00E433D1" w:rsidP="00E433D1">
      <w:pPr>
        <w:jc w:val="both"/>
        <w:rPr>
          <w:rFonts w:ascii="Times New Roman" w:hAnsi="Times New Roman"/>
          <w:sz w:val="24"/>
        </w:rPr>
      </w:pPr>
      <w:r w:rsidRPr="00E433D1">
        <w:rPr>
          <w:rFonts w:ascii="Times New Roman" w:hAnsi="Times New Roman"/>
          <w:sz w:val="24"/>
        </w:rPr>
        <w:tab/>
        <w:t xml:space="preserve">De otra parte, los documentos electrónicos están en capacidad  de brindar similares niveles de seguridad que el papel  y, en la mayoría de los casos, un mayor grado de confiabilidad y rapidez, especialmente  con respecto a la identificación del origen y el contenido de los datos, siempre que se cumplan los requisitos técnicos y jurídicos plasmados en la </w:t>
      </w:r>
      <w:r w:rsidR="00202DA7" w:rsidRPr="00E433D1">
        <w:rPr>
          <w:rFonts w:ascii="Times New Roman" w:hAnsi="Times New Roman"/>
          <w:sz w:val="24"/>
        </w:rPr>
        <w:t xml:space="preserve">ley. </w:t>
      </w:r>
    </w:p>
    <w:p w:rsidR="00E433D1" w:rsidRDefault="00E433D1" w:rsidP="00E433D1">
      <w:pPr>
        <w:jc w:val="both"/>
        <w:rPr>
          <w:rFonts w:ascii="Times New Roman" w:hAnsi="Times New Roman"/>
          <w:sz w:val="24"/>
        </w:rPr>
      </w:pPr>
      <w:r w:rsidRPr="00E433D1">
        <w:rPr>
          <w:rFonts w:ascii="Times New Roman" w:hAnsi="Times New Roman"/>
          <w:sz w:val="24"/>
        </w:rPr>
        <w:tab/>
        <w:t>El principio de la equivalencia funcional se ha expandido por todos los sectores negociales y hasta donde y hasta donde le ha sido permitido por la ley, actualmente es el principio más importante y desarrollado por todas las legislaciones que regulan el comercio electrónico.</w:t>
      </w:r>
    </w:p>
    <w:p w:rsidR="003B1433" w:rsidRPr="00166CC8" w:rsidRDefault="003B1433" w:rsidP="005410B3">
      <w:pPr>
        <w:jc w:val="both"/>
        <w:rPr>
          <w:rFonts w:ascii="Times New Roman" w:hAnsi="Times New Roman" w:cs="Times New Roman"/>
          <w:sz w:val="24"/>
        </w:rPr>
      </w:pPr>
    </w:p>
    <w:p w:rsidR="005410B3" w:rsidRPr="001227C6" w:rsidRDefault="005410B3" w:rsidP="001227C6">
      <w:pPr>
        <w:pStyle w:val="Prrafodelista"/>
        <w:numPr>
          <w:ilvl w:val="0"/>
          <w:numId w:val="40"/>
        </w:numPr>
        <w:jc w:val="both"/>
        <w:rPr>
          <w:rFonts w:ascii="Times New Roman" w:hAnsi="Times New Roman" w:cs="Times New Roman"/>
          <w:b/>
          <w:sz w:val="24"/>
        </w:rPr>
      </w:pPr>
      <w:r w:rsidRPr="001227C6">
        <w:rPr>
          <w:rFonts w:ascii="Times New Roman" w:hAnsi="Times New Roman" w:cs="Times New Roman"/>
          <w:b/>
          <w:sz w:val="24"/>
        </w:rPr>
        <w:t>Metodología</w:t>
      </w:r>
    </w:p>
    <w:p w:rsidR="001227C6" w:rsidRDefault="001227C6" w:rsidP="001227C6">
      <w:pPr>
        <w:pStyle w:val="Prrafodelista"/>
        <w:tabs>
          <w:tab w:val="left" w:pos="600"/>
        </w:tabs>
        <w:spacing w:after="0" w:line="360" w:lineRule="auto"/>
        <w:ind w:left="360"/>
        <w:jc w:val="both"/>
        <w:rPr>
          <w:rFonts w:ascii="Times New Roman" w:hAnsi="Times New Roman" w:cs="Times New Roman"/>
          <w:sz w:val="24"/>
          <w:szCs w:val="24"/>
        </w:rPr>
      </w:pPr>
    </w:p>
    <w:p w:rsidR="00166CC8" w:rsidRPr="00166CC8" w:rsidRDefault="00166CC8" w:rsidP="001227C6">
      <w:pPr>
        <w:pStyle w:val="Prrafodelista"/>
        <w:tabs>
          <w:tab w:val="left" w:pos="600"/>
        </w:tabs>
        <w:spacing w:after="0" w:line="240" w:lineRule="auto"/>
        <w:ind w:left="357"/>
        <w:jc w:val="both"/>
        <w:rPr>
          <w:rFonts w:ascii="Times New Roman" w:hAnsi="Times New Roman" w:cs="Times New Roman"/>
          <w:sz w:val="24"/>
          <w:szCs w:val="24"/>
        </w:rPr>
      </w:pPr>
      <w:r w:rsidRPr="00D9267E">
        <w:rPr>
          <w:rFonts w:ascii="Times New Roman" w:hAnsi="Times New Roman" w:cs="Times New Roman"/>
          <w:b/>
          <w:sz w:val="24"/>
          <w:szCs w:val="24"/>
        </w:rPr>
        <w:t xml:space="preserve">Enfoque: </w:t>
      </w:r>
      <w:r w:rsidR="00A847BC" w:rsidRPr="00D9267E">
        <w:rPr>
          <w:rFonts w:ascii="Times New Roman" w:hAnsi="Times New Roman" w:cs="Times New Roman"/>
          <w:b/>
          <w:sz w:val="24"/>
          <w:szCs w:val="24"/>
        </w:rPr>
        <w:t>Cualitativo</w:t>
      </w:r>
      <w:r w:rsidR="00A847BC">
        <w:rPr>
          <w:rFonts w:ascii="Times New Roman" w:hAnsi="Times New Roman" w:cs="Times New Roman"/>
          <w:sz w:val="24"/>
          <w:szCs w:val="24"/>
        </w:rPr>
        <w:t>.</w:t>
      </w:r>
    </w:p>
    <w:p w:rsidR="00A847BC" w:rsidRDefault="00166CC8" w:rsidP="001227C6">
      <w:pPr>
        <w:pStyle w:val="Prrafodelista"/>
        <w:tabs>
          <w:tab w:val="left" w:pos="600"/>
        </w:tabs>
        <w:spacing w:after="0" w:line="240" w:lineRule="auto"/>
        <w:ind w:left="357"/>
        <w:jc w:val="both"/>
        <w:rPr>
          <w:rFonts w:ascii="Times New Roman" w:hAnsi="Times New Roman" w:cs="Times New Roman"/>
          <w:sz w:val="24"/>
          <w:szCs w:val="24"/>
        </w:rPr>
      </w:pPr>
      <w:r w:rsidRPr="00166CC8">
        <w:rPr>
          <w:rFonts w:ascii="Times New Roman" w:hAnsi="Times New Roman" w:cs="Times New Roman"/>
          <w:sz w:val="24"/>
          <w:szCs w:val="24"/>
        </w:rPr>
        <w:t xml:space="preserve">En la presente investigación se aplicará el enfoque cualitativo, por cuanto se buscará realizar un análisis exploratorio interpretativo, </w:t>
      </w:r>
      <w:r>
        <w:rPr>
          <w:rFonts w:ascii="Times New Roman" w:hAnsi="Times New Roman" w:cs="Times New Roman"/>
          <w:sz w:val="24"/>
          <w:szCs w:val="24"/>
        </w:rPr>
        <w:t>pues se pretende investigar las razones por la cuales a la fecha la Rama judicial no cuenta con un expediente electrónico contrariando el mandato de la Ley.</w:t>
      </w:r>
      <w:r w:rsidRPr="00166CC8">
        <w:rPr>
          <w:rFonts w:ascii="Times New Roman" w:hAnsi="Times New Roman" w:cs="Times New Roman"/>
          <w:sz w:val="24"/>
          <w:szCs w:val="24"/>
        </w:rPr>
        <w:t xml:space="preserve"> </w:t>
      </w:r>
      <w:r w:rsidR="00A847BC" w:rsidRPr="00A26EF6">
        <w:rPr>
          <w:rFonts w:ascii="Times New Roman" w:hAnsi="Times New Roman" w:cs="Times New Roman"/>
          <w:sz w:val="24"/>
          <w:szCs w:val="24"/>
        </w:rPr>
        <w:t>A partir del enfoque cualitativo, la investigación se adelantará siguiendo el método de análisis crítico, el cual se apoya en una reflexión teórica sobre la observación de una realidad actual para generar una reinterpretación de la misma</w:t>
      </w:r>
      <w:r w:rsidR="00A847BC">
        <w:rPr>
          <w:rFonts w:ascii="Times New Roman" w:hAnsi="Times New Roman" w:cs="Times New Roman"/>
          <w:sz w:val="24"/>
          <w:szCs w:val="24"/>
        </w:rPr>
        <w:t>.</w:t>
      </w:r>
    </w:p>
    <w:p w:rsidR="00A847BC" w:rsidRDefault="00A847BC" w:rsidP="001227C6">
      <w:pPr>
        <w:pStyle w:val="Prrafodelista"/>
        <w:tabs>
          <w:tab w:val="left" w:pos="600"/>
        </w:tabs>
        <w:spacing w:after="0" w:line="240" w:lineRule="auto"/>
        <w:ind w:left="357"/>
        <w:jc w:val="both"/>
        <w:rPr>
          <w:rFonts w:ascii="Times New Roman" w:hAnsi="Times New Roman" w:cs="Times New Roman"/>
          <w:sz w:val="24"/>
          <w:szCs w:val="24"/>
        </w:rPr>
      </w:pPr>
    </w:p>
    <w:p w:rsidR="00A847BC" w:rsidRDefault="00A847BC" w:rsidP="001227C6">
      <w:pPr>
        <w:pStyle w:val="Prrafodelista"/>
        <w:tabs>
          <w:tab w:val="left" w:pos="600"/>
        </w:tabs>
        <w:spacing w:after="0" w:line="240" w:lineRule="auto"/>
        <w:ind w:left="357"/>
        <w:jc w:val="both"/>
        <w:rPr>
          <w:rFonts w:ascii="Times New Roman" w:hAnsi="Times New Roman" w:cs="Times New Roman"/>
          <w:sz w:val="24"/>
          <w:szCs w:val="24"/>
        </w:rPr>
      </w:pPr>
    </w:p>
    <w:p w:rsidR="00166CC8" w:rsidRPr="00166CC8" w:rsidRDefault="00166CC8" w:rsidP="001227C6">
      <w:pPr>
        <w:pStyle w:val="Prrafodelista"/>
        <w:tabs>
          <w:tab w:val="left" w:pos="600"/>
        </w:tabs>
        <w:spacing w:after="0" w:line="240" w:lineRule="auto"/>
        <w:ind w:left="357"/>
        <w:jc w:val="both"/>
        <w:rPr>
          <w:rFonts w:ascii="Times New Roman" w:hAnsi="Times New Roman" w:cs="Times New Roman"/>
          <w:sz w:val="24"/>
          <w:szCs w:val="24"/>
        </w:rPr>
      </w:pPr>
    </w:p>
    <w:p w:rsidR="00166CC8" w:rsidRPr="00166CC8" w:rsidRDefault="00166CC8" w:rsidP="001227C6">
      <w:pPr>
        <w:pStyle w:val="Prrafodelista"/>
        <w:tabs>
          <w:tab w:val="left" w:pos="600"/>
        </w:tabs>
        <w:spacing w:after="0" w:line="240" w:lineRule="auto"/>
        <w:ind w:left="357"/>
        <w:jc w:val="both"/>
        <w:rPr>
          <w:rFonts w:ascii="Times New Roman" w:hAnsi="Times New Roman" w:cs="Times New Roman"/>
          <w:sz w:val="24"/>
          <w:szCs w:val="24"/>
        </w:rPr>
      </w:pPr>
    </w:p>
    <w:p w:rsidR="00166CC8" w:rsidRPr="00166CC8" w:rsidRDefault="00166CC8" w:rsidP="001227C6">
      <w:pPr>
        <w:pStyle w:val="Prrafodelista"/>
        <w:tabs>
          <w:tab w:val="left" w:pos="600"/>
        </w:tabs>
        <w:spacing w:after="0" w:line="240" w:lineRule="auto"/>
        <w:ind w:left="357"/>
        <w:jc w:val="both"/>
        <w:rPr>
          <w:rFonts w:ascii="Times New Roman" w:hAnsi="Times New Roman" w:cs="Times New Roman"/>
          <w:sz w:val="24"/>
          <w:szCs w:val="24"/>
        </w:rPr>
      </w:pPr>
    </w:p>
    <w:p w:rsidR="00D9267E" w:rsidRPr="00D9267E" w:rsidRDefault="00166CC8" w:rsidP="00D9267E">
      <w:pPr>
        <w:pStyle w:val="Prrafodelista"/>
        <w:tabs>
          <w:tab w:val="left" w:pos="600"/>
        </w:tabs>
        <w:spacing w:after="0" w:line="240" w:lineRule="auto"/>
        <w:ind w:left="357"/>
        <w:jc w:val="both"/>
        <w:rPr>
          <w:rFonts w:ascii="Times New Roman" w:hAnsi="Times New Roman" w:cs="Times New Roman"/>
          <w:b/>
          <w:sz w:val="24"/>
          <w:szCs w:val="24"/>
        </w:rPr>
      </w:pPr>
      <w:r w:rsidRPr="00D9267E">
        <w:rPr>
          <w:rFonts w:ascii="Times New Roman" w:hAnsi="Times New Roman" w:cs="Times New Roman"/>
          <w:b/>
          <w:sz w:val="24"/>
          <w:szCs w:val="24"/>
        </w:rPr>
        <w:lastRenderedPageBreak/>
        <w:t>Técnica</w:t>
      </w:r>
      <w:r w:rsidR="00D9267E" w:rsidRPr="00D9267E">
        <w:rPr>
          <w:rFonts w:ascii="Times New Roman" w:hAnsi="Times New Roman" w:cs="Times New Roman"/>
          <w:b/>
          <w:sz w:val="24"/>
          <w:szCs w:val="24"/>
        </w:rPr>
        <w:t xml:space="preserve">. </w:t>
      </w:r>
      <w:r w:rsidRPr="00D9267E">
        <w:rPr>
          <w:rFonts w:ascii="Times New Roman" w:hAnsi="Times New Roman" w:cs="Times New Roman"/>
          <w:b/>
          <w:sz w:val="24"/>
          <w:szCs w:val="24"/>
        </w:rPr>
        <w:t>Documental, observación</w:t>
      </w:r>
      <w:r w:rsidR="00A847BC" w:rsidRPr="00D9267E">
        <w:rPr>
          <w:rFonts w:ascii="Times New Roman" w:hAnsi="Times New Roman" w:cs="Times New Roman"/>
          <w:b/>
          <w:sz w:val="24"/>
          <w:szCs w:val="24"/>
        </w:rPr>
        <w:t xml:space="preserve"> directa. </w:t>
      </w:r>
    </w:p>
    <w:p w:rsidR="00166CC8" w:rsidRPr="00166CC8" w:rsidRDefault="00A847BC" w:rsidP="00D9267E">
      <w:pPr>
        <w:pStyle w:val="Prrafodelista"/>
        <w:tabs>
          <w:tab w:val="left" w:pos="600"/>
        </w:tabs>
        <w:spacing w:after="0" w:line="240" w:lineRule="auto"/>
        <w:ind w:left="357"/>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Revisión  de normas, documentos, </w:t>
      </w:r>
      <w:r w:rsidR="00C65A40">
        <w:rPr>
          <w:rFonts w:ascii="Times New Roman" w:hAnsi="Times New Roman" w:cs="Times New Roman"/>
          <w:sz w:val="24"/>
          <w:szCs w:val="24"/>
        </w:rPr>
        <w:t>diagnósticos</w:t>
      </w:r>
      <w:r>
        <w:rPr>
          <w:rFonts w:ascii="Times New Roman" w:hAnsi="Times New Roman" w:cs="Times New Roman"/>
          <w:sz w:val="24"/>
          <w:szCs w:val="24"/>
        </w:rPr>
        <w:t>,</w:t>
      </w:r>
      <w:r w:rsidR="00C65A40">
        <w:rPr>
          <w:rFonts w:ascii="Times New Roman" w:hAnsi="Times New Roman" w:cs="Times New Roman"/>
          <w:sz w:val="24"/>
          <w:szCs w:val="24"/>
        </w:rPr>
        <w:t xml:space="preserve"> actas de Sala y demás escritos que nos permitan comprender la investigación adelantada. </w:t>
      </w:r>
      <w:r>
        <w:rPr>
          <w:rFonts w:ascii="Times New Roman" w:hAnsi="Times New Roman" w:cs="Times New Roman"/>
          <w:sz w:val="24"/>
          <w:szCs w:val="24"/>
        </w:rPr>
        <w:t xml:space="preserve"> </w:t>
      </w:r>
    </w:p>
    <w:p w:rsidR="00D9267E" w:rsidRDefault="00D9267E" w:rsidP="00D9267E">
      <w:pPr>
        <w:pStyle w:val="Prrafodelista"/>
        <w:tabs>
          <w:tab w:val="left" w:pos="600"/>
        </w:tabs>
        <w:spacing w:after="0" w:line="240" w:lineRule="auto"/>
        <w:ind w:left="357"/>
        <w:jc w:val="both"/>
        <w:rPr>
          <w:rFonts w:ascii="Times New Roman" w:hAnsi="Times New Roman" w:cs="Times New Roman"/>
          <w:sz w:val="24"/>
          <w:szCs w:val="24"/>
        </w:rPr>
      </w:pPr>
    </w:p>
    <w:p w:rsidR="00166CC8" w:rsidRPr="00D9267E" w:rsidRDefault="00166CC8" w:rsidP="00D9267E">
      <w:pPr>
        <w:pStyle w:val="Prrafodelista"/>
        <w:tabs>
          <w:tab w:val="left" w:pos="600"/>
        </w:tabs>
        <w:spacing w:after="0" w:line="240" w:lineRule="auto"/>
        <w:ind w:left="357"/>
        <w:jc w:val="both"/>
        <w:rPr>
          <w:rFonts w:ascii="Times New Roman" w:hAnsi="Times New Roman" w:cs="Times New Roman"/>
          <w:b/>
          <w:sz w:val="24"/>
          <w:szCs w:val="24"/>
        </w:rPr>
      </w:pPr>
      <w:r w:rsidRPr="00D9267E">
        <w:rPr>
          <w:rFonts w:ascii="Times New Roman" w:hAnsi="Times New Roman" w:cs="Times New Roman"/>
          <w:b/>
          <w:sz w:val="24"/>
          <w:szCs w:val="24"/>
        </w:rPr>
        <w:t>Instrumento: La herramienta de captura y análisis de información</w:t>
      </w:r>
    </w:p>
    <w:p w:rsidR="00C65A40" w:rsidRDefault="00166CC8" w:rsidP="001227C6">
      <w:pPr>
        <w:spacing w:after="0" w:line="240" w:lineRule="auto"/>
        <w:ind w:left="357"/>
        <w:jc w:val="both"/>
        <w:rPr>
          <w:rFonts w:ascii="Times New Roman" w:hAnsi="Times New Roman" w:cs="Times New Roman"/>
          <w:sz w:val="24"/>
          <w:szCs w:val="24"/>
          <w:shd w:val="clear" w:color="auto" w:fill="FFFFFF"/>
        </w:rPr>
      </w:pPr>
      <w:r w:rsidRPr="00166CC8">
        <w:rPr>
          <w:rFonts w:ascii="Times New Roman" w:hAnsi="Times New Roman" w:cs="Times New Roman"/>
          <w:sz w:val="24"/>
          <w:szCs w:val="24"/>
          <w:shd w:val="clear" w:color="auto" w:fill="FFFFFF"/>
        </w:rPr>
        <w:t>Consulta de libros (bibliográfica), artículos o ensayos de carácter cie</w:t>
      </w:r>
      <w:r w:rsidR="00C65A40">
        <w:rPr>
          <w:rFonts w:ascii="Times New Roman" w:hAnsi="Times New Roman" w:cs="Times New Roman"/>
          <w:sz w:val="24"/>
          <w:szCs w:val="24"/>
          <w:shd w:val="clear" w:color="auto" w:fill="FFFFFF"/>
        </w:rPr>
        <w:t>ntífico, revistas o periódicos.</w:t>
      </w:r>
    </w:p>
    <w:p w:rsidR="00C65A40" w:rsidRDefault="00C65A40" w:rsidP="005410B3">
      <w:pPr>
        <w:jc w:val="both"/>
        <w:rPr>
          <w:rFonts w:ascii="Times New Roman" w:hAnsi="Times New Roman" w:cs="Times New Roman"/>
          <w:sz w:val="24"/>
        </w:rPr>
      </w:pPr>
    </w:p>
    <w:p w:rsidR="0025048A" w:rsidRDefault="005410B3" w:rsidP="001227C6">
      <w:pPr>
        <w:pStyle w:val="Prrafodelista"/>
        <w:numPr>
          <w:ilvl w:val="0"/>
          <w:numId w:val="40"/>
        </w:numPr>
        <w:jc w:val="both"/>
        <w:rPr>
          <w:rFonts w:ascii="Times New Roman" w:hAnsi="Times New Roman" w:cs="Times New Roman"/>
          <w:sz w:val="24"/>
        </w:rPr>
      </w:pPr>
      <w:r w:rsidRPr="001227C6">
        <w:rPr>
          <w:rFonts w:ascii="Times New Roman" w:hAnsi="Times New Roman" w:cs="Times New Roman"/>
          <w:b/>
          <w:sz w:val="24"/>
        </w:rPr>
        <w:t>Resultados esperados</w:t>
      </w:r>
      <w:r w:rsidR="005F4661" w:rsidRPr="001227C6">
        <w:rPr>
          <w:rFonts w:ascii="Times New Roman" w:hAnsi="Times New Roman" w:cs="Times New Roman"/>
          <w:sz w:val="24"/>
        </w:rPr>
        <w:t xml:space="preserve">: </w:t>
      </w:r>
      <w:r w:rsidR="0025048A">
        <w:rPr>
          <w:rFonts w:ascii="Times New Roman" w:hAnsi="Times New Roman" w:cs="Times New Roman"/>
          <w:sz w:val="24"/>
        </w:rPr>
        <w:t xml:space="preserve">Generación de nuevo conocimiento </w:t>
      </w:r>
      <w:r w:rsidR="005F4661" w:rsidRPr="001227C6">
        <w:rPr>
          <w:rFonts w:ascii="Times New Roman" w:hAnsi="Times New Roman" w:cs="Times New Roman"/>
          <w:sz w:val="24"/>
        </w:rPr>
        <w:t>Artí</w:t>
      </w:r>
      <w:r w:rsidR="00C65A40" w:rsidRPr="001227C6">
        <w:rPr>
          <w:rFonts w:ascii="Times New Roman" w:hAnsi="Times New Roman" w:cs="Times New Roman"/>
          <w:sz w:val="24"/>
        </w:rPr>
        <w:t xml:space="preserve">culo </w:t>
      </w:r>
      <w:r w:rsidR="0025048A">
        <w:rPr>
          <w:rFonts w:ascii="Times New Roman" w:hAnsi="Times New Roman" w:cs="Times New Roman"/>
          <w:sz w:val="24"/>
        </w:rPr>
        <w:t>Tipo A.</w:t>
      </w:r>
    </w:p>
    <w:p w:rsidR="001227C6" w:rsidRPr="001227C6" w:rsidRDefault="001227C6" w:rsidP="001227C6">
      <w:pPr>
        <w:jc w:val="both"/>
        <w:rPr>
          <w:rFonts w:ascii="Times New Roman" w:hAnsi="Times New Roman" w:cs="Times New Roman"/>
          <w:sz w:val="24"/>
        </w:rPr>
      </w:pPr>
    </w:p>
    <w:p w:rsidR="005410B3" w:rsidRPr="001227C6" w:rsidRDefault="005410B3" w:rsidP="001227C6">
      <w:pPr>
        <w:pStyle w:val="Prrafodelista"/>
        <w:numPr>
          <w:ilvl w:val="0"/>
          <w:numId w:val="40"/>
        </w:numPr>
        <w:spacing w:after="0"/>
        <w:rPr>
          <w:rFonts w:ascii="Times New Roman" w:hAnsi="Times New Roman"/>
          <w:b/>
          <w:sz w:val="24"/>
        </w:rPr>
      </w:pPr>
      <w:r w:rsidRPr="001227C6">
        <w:rPr>
          <w:rFonts w:ascii="Times New Roman" w:hAnsi="Times New Roman"/>
          <w:b/>
          <w:sz w:val="24"/>
        </w:rPr>
        <w:t>Presupuesto</w:t>
      </w:r>
    </w:p>
    <w:p w:rsidR="005410B3" w:rsidRDefault="005410B3" w:rsidP="005410B3">
      <w:pPr>
        <w:spacing w:after="0"/>
        <w:jc w:val="center"/>
        <w:rPr>
          <w:rFonts w:ascii="Times New Roman" w:hAnsi="Times New Roman"/>
          <w:sz w:val="24"/>
        </w:rPr>
      </w:pPr>
    </w:p>
    <w:p w:rsidR="001227C6" w:rsidRDefault="001227C6" w:rsidP="001227C6">
      <w:pPr>
        <w:spacing w:after="0"/>
        <w:jc w:val="center"/>
        <w:rPr>
          <w:rFonts w:ascii="Times New Roman" w:hAnsi="Times New Roman"/>
          <w:sz w:val="24"/>
        </w:rPr>
      </w:pPr>
    </w:p>
    <w:tbl>
      <w:tblPr>
        <w:tblStyle w:val="Tablaconcuadrcula"/>
        <w:tblW w:w="0" w:type="auto"/>
        <w:tblLook w:val="04A0" w:firstRow="1" w:lastRow="0" w:firstColumn="1" w:lastColumn="0" w:noHBand="0" w:noVBand="1"/>
      </w:tblPr>
      <w:tblGrid>
        <w:gridCol w:w="3425"/>
        <w:gridCol w:w="3599"/>
        <w:gridCol w:w="1804"/>
      </w:tblGrid>
      <w:tr w:rsidR="001227C6" w:rsidTr="00EA3758">
        <w:trPr>
          <w:trHeight w:val="108"/>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b/>
                <w:sz w:val="24"/>
                <w:szCs w:val="24"/>
              </w:rPr>
            </w:pPr>
            <w:r>
              <w:rPr>
                <w:rFonts w:ascii="Times New Roman" w:hAnsi="Times New Roman" w:cs="Times New Roman"/>
                <w:b/>
                <w:sz w:val="28"/>
                <w:szCs w:val="24"/>
              </w:rPr>
              <w:t>Recurso solicitado FODEIN</w:t>
            </w:r>
          </w:p>
        </w:tc>
      </w:tr>
      <w:tr w:rsidR="001227C6" w:rsidTr="00EA3758">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eastAsia="Cambria" w:hAnsi="Times New Roman" w:cs="Times New Roman"/>
                <w:sz w:val="24"/>
                <w:szCs w:val="24"/>
              </w:rPr>
            </w:pPr>
            <w:r>
              <w:rPr>
                <w:rFonts w:ascii="Times New Roman" w:eastAsia="Cambria" w:hAnsi="Times New Roman" w:cs="Times New Roman"/>
                <w:sz w:val="24"/>
                <w:szCs w:val="24"/>
              </w:rPr>
              <w:t>Concepto</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sz w:val="24"/>
                <w:szCs w:val="24"/>
              </w:rPr>
            </w:pPr>
            <w:r>
              <w:rPr>
                <w:rFonts w:ascii="Times New Roman" w:hAnsi="Times New Roman" w:cs="Times New Roman"/>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sz w:val="24"/>
                <w:szCs w:val="24"/>
              </w:rPr>
            </w:pPr>
            <w:r>
              <w:rPr>
                <w:rFonts w:ascii="Times New Roman" w:hAnsi="Times New Roman" w:cs="Times New Roman"/>
                <w:sz w:val="24"/>
                <w:szCs w:val="24"/>
              </w:rPr>
              <w:t>Monto</w:t>
            </w:r>
          </w:p>
        </w:tc>
      </w:tr>
      <w:tr w:rsidR="001227C6" w:rsidTr="00EA3758">
        <w:trPr>
          <w:trHeight w:val="108"/>
        </w:trPr>
        <w:tc>
          <w:tcPr>
            <w:tcW w:w="3510" w:type="dxa"/>
            <w:vMerge w:val="restart"/>
            <w:tcBorders>
              <w:top w:val="single" w:sz="4" w:space="0" w:color="auto"/>
              <w:left w:val="single" w:sz="4" w:space="0" w:color="auto"/>
              <w:right w:val="single" w:sz="4" w:space="0" w:color="auto"/>
            </w:tcBorders>
            <w:vAlign w:val="center"/>
          </w:tcPr>
          <w:p w:rsidR="001227C6" w:rsidRDefault="001227C6" w:rsidP="00EA3758">
            <w:pPr>
              <w:jc w:val="center"/>
              <w:rPr>
                <w:rFonts w:ascii="Times New Roman" w:eastAsia="Cambria" w:hAnsi="Times New Roman" w:cs="Times New Roman"/>
                <w:sz w:val="24"/>
                <w:szCs w:val="24"/>
              </w:rPr>
            </w:pPr>
            <w:r>
              <w:rPr>
                <w:rFonts w:ascii="Times New Roman" w:eastAsia="Cambria" w:hAnsi="Times New Roman" w:cs="Times New Roman"/>
                <w:sz w:val="24"/>
                <w:szCs w:val="24"/>
              </w:rPr>
              <w:t>Personal científico</w:t>
            </w:r>
          </w:p>
        </w:tc>
        <w:tc>
          <w:tcPr>
            <w:tcW w:w="3686"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r>
              <w:rPr>
                <w:rFonts w:ascii="Times New Roman" w:hAnsi="Times New Roman" w:cs="Times New Roman"/>
                <w:sz w:val="24"/>
                <w:szCs w:val="24"/>
              </w:rPr>
              <w:t>Nombre del docente 1</w:t>
            </w:r>
          </w:p>
          <w:p w:rsidR="00D20AB1" w:rsidRDefault="00D20AB1" w:rsidP="00D20AB1">
            <w:pPr>
              <w:jc w:val="center"/>
              <w:rPr>
                <w:rFonts w:ascii="Times New Roman" w:hAnsi="Times New Roman" w:cs="Times New Roman"/>
                <w:sz w:val="24"/>
                <w:szCs w:val="24"/>
              </w:rPr>
            </w:pPr>
            <w:r>
              <w:rPr>
                <w:rFonts w:ascii="Times New Roman" w:hAnsi="Times New Roman" w:cs="Times New Roman"/>
                <w:sz w:val="24"/>
                <w:szCs w:val="24"/>
              </w:rPr>
              <w:t>Ana Yasmin Torres Torres</w:t>
            </w:r>
          </w:p>
          <w:p w:rsidR="00D9267E" w:rsidRDefault="00D9267E" w:rsidP="00D20AB1">
            <w:pPr>
              <w:jc w:val="center"/>
              <w:rPr>
                <w:rFonts w:ascii="Times New Roman" w:hAnsi="Times New Roman" w:cs="Times New Roman"/>
                <w:sz w:val="24"/>
                <w:szCs w:val="24"/>
              </w:rPr>
            </w:pPr>
            <w:r>
              <w:rPr>
                <w:rFonts w:ascii="Times New Roman" w:hAnsi="Times New Roman" w:cs="Times New Roman"/>
                <w:sz w:val="24"/>
                <w:szCs w:val="24"/>
              </w:rPr>
              <w:t>(12 horas)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25048A" w:rsidP="00EA3758">
            <w:pPr>
              <w:jc w:val="center"/>
              <w:rPr>
                <w:rFonts w:ascii="Times New Roman" w:hAnsi="Times New Roman" w:cs="Times New Roman"/>
                <w:sz w:val="24"/>
                <w:szCs w:val="24"/>
              </w:rPr>
            </w:pPr>
            <w:r>
              <w:rPr>
                <w:rFonts w:ascii="Times New Roman" w:hAnsi="Times New Roman" w:cs="Times New Roman"/>
                <w:sz w:val="24"/>
                <w:szCs w:val="24"/>
              </w:rPr>
              <w:t>$8.355.000</w:t>
            </w:r>
          </w:p>
        </w:tc>
      </w:tr>
      <w:tr w:rsidR="001227C6" w:rsidTr="00EA3758">
        <w:trPr>
          <w:trHeight w:val="108"/>
        </w:trPr>
        <w:tc>
          <w:tcPr>
            <w:tcW w:w="3510" w:type="dxa"/>
            <w:vMerge/>
            <w:tcBorders>
              <w:left w:val="single" w:sz="4" w:space="0" w:color="auto"/>
              <w:right w:val="single" w:sz="4" w:space="0" w:color="auto"/>
            </w:tcBorders>
            <w:vAlign w:val="center"/>
          </w:tcPr>
          <w:p w:rsidR="001227C6" w:rsidRDefault="001227C6" w:rsidP="00EA3758">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08"/>
        </w:trPr>
        <w:tc>
          <w:tcPr>
            <w:tcW w:w="3510" w:type="dxa"/>
            <w:vMerge/>
            <w:tcBorders>
              <w:left w:val="single" w:sz="4" w:space="0" w:color="auto"/>
              <w:right w:val="single" w:sz="4" w:space="0" w:color="auto"/>
            </w:tcBorders>
            <w:vAlign w:val="center"/>
          </w:tcPr>
          <w:p w:rsidR="001227C6" w:rsidRDefault="001227C6" w:rsidP="00EA3758">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D20AB1" w:rsidRDefault="00D20AB1" w:rsidP="00EA3758">
            <w:pPr>
              <w:jc w:val="center"/>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08"/>
        </w:trPr>
        <w:tc>
          <w:tcPr>
            <w:tcW w:w="3510" w:type="dxa"/>
            <w:vMerge/>
            <w:tcBorders>
              <w:left w:val="single" w:sz="4" w:space="0" w:color="auto"/>
              <w:right w:val="single" w:sz="4" w:space="0" w:color="auto"/>
            </w:tcBorders>
            <w:vAlign w:val="center"/>
          </w:tcPr>
          <w:p w:rsidR="001227C6" w:rsidRDefault="001227C6" w:rsidP="00EA3758">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08"/>
        </w:trPr>
        <w:tc>
          <w:tcPr>
            <w:tcW w:w="3510" w:type="dxa"/>
            <w:vMerge/>
            <w:tcBorders>
              <w:left w:val="single" w:sz="4" w:space="0" w:color="auto"/>
              <w:bottom w:val="single" w:sz="4" w:space="0" w:color="auto"/>
              <w:right w:val="single" w:sz="4" w:space="0" w:color="auto"/>
            </w:tcBorders>
            <w:vAlign w:val="center"/>
          </w:tcPr>
          <w:p w:rsidR="001227C6" w:rsidRDefault="001227C6" w:rsidP="00EA3758">
            <w:pPr>
              <w:jc w:val="center"/>
              <w:rPr>
                <w:rFonts w:ascii="Times New Roman" w:eastAsia="Cambria" w:hAnsi="Times New Roman" w:cs="Times New Roman"/>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sz w:val="24"/>
                <w:szCs w:val="24"/>
              </w:rPr>
            </w:pPr>
            <w:r>
              <w:rPr>
                <w:rFonts w:ascii="Times New Roman" w:eastAsia="Cambria" w:hAnsi="Times New Roman" w:cs="Times New Roman"/>
                <w:sz w:val="24"/>
                <w:szCs w:val="24"/>
              </w:rPr>
              <w:t>Auxilio a investigadores</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rPr>
                <w:rFonts w:ascii="Times New Roman" w:hAnsi="Times New Roman" w:cs="Times New Roman"/>
                <w:sz w:val="24"/>
                <w:szCs w:val="24"/>
              </w:rPr>
            </w:pPr>
            <w:r>
              <w:rPr>
                <w:rFonts w:ascii="Times New Roman" w:hAnsi="Times New Roman" w:cs="Times New Roman"/>
                <w:sz w:val="24"/>
                <w:szCs w:val="24"/>
              </w:rPr>
              <w:t>Reconocimiento económico a estudiantes de pregrado</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08"/>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eastAsia="Cambria" w:hAnsi="Times New Roman" w:cs="Times New Roman"/>
                <w:sz w:val="24"/>
                <w:szCs w:val="24"/>
              </w:rPr>
            </w:pPr>
            <w:r>
              <w:rPr>
                <w:rFonts w:ascii="Times New Roman" w:eastAsia="Cambria" w:hAnsi="Times New Roman" w:cs="Times New Roman"/>
                <w:sz w:val="24"/>
                <w:szCs w:val="24"/>
              </w:rPr>
              <w:t>Asistentes de investigación</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rPr>
                <w:rFonts w:ascii="Times New Roman" w:hAnsi="Times New Roman" w:cs="Times New Roman"/>
                <w:sz w:val="24"/>
                <w:szCs w:val="24"/>
              </w:rPr>
            </w:pPr>
            <w:r>
              <w:rPr>
                <w:rFonts w:ascii="Times New Roman" w:hAnsi="Times New Roman" w:cs="Times New Roman"/>
                <w:sz w:val="24"/>
                <w:szCs w:val="24"/>
              </w:rPr>
              <w:t>Reconocimiento económico a estudiantes de posgrado</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jc w:val="center"/>
              <w:rPr>
                <w:rFonts w:ascii="Times New Roman" w:hAnsi="Times New Roman" w:cs="Times New Roman"/>
                <w:sz w:val="24"/>
                <w:szCs w:val="24"/>
              </w:rPr>
            </w:pPr>
            <w:r>
              <w:rPr>
                <w:rFonts w:ascii="Times New Roman" w:eastAsia="Cambria" w:hAnsi="Times New Roman" w:cs="Times New Roman"/>
                <w:sz w:val="24"/>
                <w:szCs w:val="24"/>
              </w:rPr>
              <w:t>Equipos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rPr>
                <w:rFonts w:ascii="Times New Roman" w:hAnsi="Times New Roman" w:cs="Times New Roman"/>
                <w:sz w:val="24"/>
                <w:szCs w:val="24"/>
              </w:rPr>
            </w:pPr>
            <w:r>
              <w:rPr>
                <w:rFonts w:ascii="Times New Roman" w:hAnsi="Times New Roman" w:cs="Times New Roman"/>
                <w:sz w:val="24"/>
                <w:szCs w:val="24"/>
              </w:rPr>
              <w:t>Consultar en adquisiciones y suministros para evitar duplicidad</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jc w:val="center"/>
              <w:rPr>
                <w:rFonts w:ascii="Times New Roman" w:hAnsi="Times New Roman" w:cs="Times New Roman"/>
                <w:sz w:val="24"/>
                <w:szCs w:val="24"/>
              </w:rPr>
            </w:pPr>
            <w:r>
              <w:rPr>
                <w:rFonts w:ascii="Times New Roman" w:eastAsia="Cambria" w:hAnsi="Times New Roman" w:cs="Times New Roman"/>
                <w:sz w:val="24"/>
                <w:szCs w:val="24"/>
              </w:rPr>
              <w:t>Software</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rPr>
                <w:rFonts w:ascii="Times New Roman" w:hAnsi="Times New Roman" w:cs="Times New Roman"/>
                <w:sz w:val="24"/>
                <w:szCs w:val="24"/>
              </w:rPr>
            </w:pPr>
            <w:r>
              <w:rPr>
                <w:rFonts w:ascii="Times New Roman" w:hAnsi="Times New Roman" w:cs="Times New Roman"/>
                <w:sz w:val="24"/>
                <w:szCs w:val="24"/>
              </w:rPr>
              <w:t>Consultar en departamento TICS para evitar duplicidad</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2"/>
              <w:jc w:val="center"/>
              <w:rPr>
                <w:rFonts w:ascii="Times New Roman" w:hAnsi="Times New Roman" w:cs="Times New Roman"/>
                <w:sz w:val="24"/>
                <w:szCs w:val="24"/>
              </w:rPr>
            </w:pPr>
            <w:r>
              <w:rPr>
                <w:rFonts w:ascii="Times New Roman" w:eastAsia="Cambria" w:hAnsi="Times New Roman" w:cs="Times New Roman"/>
                <w:sz w:val="24"/>
                <w:szCs w:val="24"/>
              </w:rPr>
              <w:t>Materiales</w:t>
            </w:r>
          </w:p>
        </w:tc>
        <w:tc>
          <w:tcPr>
            <w:tcW w:w="3686"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ind w:right="32"/>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25048A" w:rsidP="00EA3758">
            <w:pPr>
              <w:jc w:val="center"/>
              <w:rPr>
                <w:rFonts w:ascii="Times New Roman" w:hAnsi="Times New Roman" w:cs="Times New Roman"/>
                <w:sz w:val="24"/>
                <w:szCs w:val="24"/>
              </w:rPr>
            </w:pPr>
            <w:r>
              <w:rPr>
                <w:rFonts w:ascii="Times New Roman" w:hAnsi="Times New Roman" w:cs="Times New Roman"/>
                <w:sz w:val="24"/>
                <w:szCs w:val="24"/>
              </w:rPr>
              <w:t>50.000</w:t>
            </w:r>
          </w:p>
        </w:tc>
      </w:tr>
      <w:tr w:rsidR="001227C6" w:rsidTr="00EA3758">
        <w:trPr>
          <w:trHeight w:val="105"/>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jc w:val="center"/>
              <w:rPr>
                <w:rFonts w:ascii="Times New Roman" w:hAnsi="Times New Roman" w:cs="Times New Roman"/>
                <w:sz w:val="24"/>
                <w:szCs w:val="24"/>
              </w:rPr>
            </w:pPr>
            <w:r>
              <w:rPr>
                <w:rFonts w:ascii="Times New Roman" w:eastAsia="Cambria" w:hAnsi="Times New Roman" w:cs="Times New Roman"/>
                <w:sz w:val="24"/>
                <w:szCs w:val="24"/>
              </w:rPr>
              <w:t>Papelería</w:t>
            </w:r>
          </w:p>
        </w:tc>
        <w:tc>
          <w:tcPr>
            <w:tcW w:w="3686" w:type="dxa"/>
            <w:tcBorders>
              <w:top w:val="single" w:sz="4" w:space="0" w:color="auto"/>
              <w:left w:val="single" w:sz="4" w:space="0" w:color="auto"/>
              <w:bottom w:val="single" w:sz="4" w:space="0" w:color="auto"/>
              <w:right w:val="single" w:sz="4" w:space="0" w:color="auto"/>
            </w:tcBorders>
          </w:tcPr>
          <w:p w:rsidR="001227C6" w:rsidRDefault="001227C6" w:rsidP="00EA3758">
            <w:pPr>
              <w:widowControl w:val="0"/>
              <w:jc w:val="both"/>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25048A" w:rsidP="00EA3758">
            <w:pPr>
              <w:jc w:val="center"/>
              <w:rPr>
                <w:rFonts w:ascii="Times New Roman" w:hAnsi="Times New Roman" w:cs="Times New Roman"/>
                <w:sz w:val="24"/>
                <w:szCs w:val="24"/>
              </w:rPr>
            </w:pPr>
            <w:r>
              <w:rPr>
                <w:rFonts w:ascii="Times New Roman" w:hAnsi="Times New Roman" w:cs="Times New Roman"/>
                <w:sz w:val="24"/>
                <w:szCs w:val="24"/>
              </w:rPr>
              <w:t>50.000</w:t>
            </w:r>
          </w:p>
        </w:tc>
      </w:tr>
      <w:tr w:rsidR="001227C6" w:rsidTr="00EA3758">
        <w:trPr>
          <w:trHeight w:val="286"/>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jc w:val="center"/>
              <w:rPr>
                <w:rFonts w:ascii="Times New Roman" w:hAnsi="Times New Roman" w:cs="Times New Roman"/>
                <w:sz w:val="24"/>
                <w:szCs w:val="24"/>
              </w:rPr>
            </w:pPr>
            <w:r>
              <w:rPr>
                <w:rFonts w:ascii="Times New Roman" w:eastAsia="Cambria" w:hAnsi="Times New Roman" w:cs="Times New Roman"/>
                <w:sz w:val="24"/>
                <w:szCs w:val="24"/>
              </w:rPr>
              <w:t>Fotocopias</w:t>
            </w:r>
          </w:p>
        </w:tc>
        <w:tc>
          <w:tcPr>
            <w:tcW w:w="3686" w:type="dxa"/>
            <w:tcBorders>
              <w:top w:val="single" w:sz="4" w:space="0" w:color="auto"/>
              <w:left w:val="single" w:sz="4" w:space="0" w:color="auto"/>
              <w:bottom w:val="single" w:sz="4" w:space="0" w:color="auto"/>
              <w:right w:val="single" w:sz="4" w:space="0" w:color="auto"/>
            </w:tcBorders>
          </w:tcPr>
          <w:p w:rsidR="001227C6" w:rsidRDefault="001227C6" w:rsidP="00EA3758">
            <w:pPr>
              <w:widowControl w:val="0"/>
              <w:jc w:val="both"/>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25048A" w:rsidP="00EA3758">
            <w:pPr>
              <w:jc w:val="center"/>
              <w:rPr>
                <w:rFonts w:ascii="Times New Roman" w:hAnsi="Times New Roman" w:cs="Times New Roman"/>
                <w:sz w:val="24"/>
                <w:szCs w:val="24"/>
              </w:rPr>
            </w:pPr>
            <w:r>
              <w:rPr>
                <w:rFonts w:ascii="Times New Roman" w:hAnsi="Times New Roman" w:cs="Times New Roman"/>
                <w:sz w:val="24"/>
                <w:szCs w:val="24"/>
              </w:rPr>
              <w:t>50.000</w:t>
            </w:r>
          </w:p>
        </w:tc>
      </w:tr>
      <w:tr w:rsidR="001227C6" w:rsidTr="00EA3758">
        <w:trPr>
          <w:trHeight w:val="138"/>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0"/>
              <w:jc w:val="center"/>
              <w:rPr>
                <w:rFonts w:ascii="Times New Roman" w:hAnsi="Times New Roman" w:cs="Times New Roman"/>
                <w:sz w:val="24"/>
                <w:szCs w:val="24"/>
              </w:rPr>
            </w:pPr>
            <w:r>
              <w:rPr>
                <w:rFonts w:ascii="Times New Roman" w:eastAsia="Cambria" w:hAnsi="Times New Roman" w:cs="Times New Roman"/>
                <w:sz w:val="24"/>
                <w:szCs w:val="24"/>
              </w:rPr>
              <w:t>Salidas de campo</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rPr>
                <w:rFonts w:ascii="Times New Roman" w:hAnsi="Times New Roman" w:cs="Times New Roman"/>
                <w:sz w:val="24"/>
                <w:szCs w:val="24"/>
              </w:rPr>
            </w:pPr>
            <w:r>
              <w:rPr>
                <w:rFonts w:ascii="Times New Roman" w:hAnsi="Times New Roman" w:cs="Times New Roman"/>
                <w:sz w:val="24"/>
                <w:szCs w:val="24"/>
              </w:rPr>
              <w:t>Lugar, tiempos, actividades, investigadores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jc w:val="center"/>
              <w:rPr>
                <w:rFonts w:ascii="Times New Roman" w:hAnsi="Times New Roman" w:cs="Times New Roman"/>
                <w:sz w:val="24"/>
                <w:szCs w:val="24"/>
              </w:rPr>
            </w:pPr>
            <w:r>
              <w:rPr>
                <w:rFonts w:ascii="Times New Roman" w:eastAsia="Cambria" w:hAnsi="Times New Roman" w:cs="Times New Roman"/>
                <w:sz w:val="24"/>
                <w:szCs w:val="24"/>
              </w:rPr>
              <w:t>Material bibliográfico</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34"/>
              <w:rPr>
                <w:rFonts w:ascii="Times New Roman" w:hAnsi="Times New Roman" w:cs="Times New Roman"/>
                <w:sz w:val="24"/>
                <w:szCs w:val="24"/>
              </w:rPr>
            </w:pPr>
            <w:r>
              <w:rPr>
                <w:rFonts w:ascii="Times New Roman" w:hAnsi="Times New Roman" w:cs="Times New Roman"/>
                <w:sz w:val="24"/>
                <w:szCs w:val="24"/>
              </w:rPr>
              <w:t>Libros, suscripciones a revistas, etc</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left="46" w:right="79"/>
              <w:jc w:val="center"/>
              <w:rPr>
                <w:rFonts w:ascii="Times New Roman" w:hAnsi="Times New Roman" w:cs="Times New Roman"/>
                <w:sz w:val="24"/>
                <w:szCs w:val="24"/>
              </w:rPr>
            </w:pPr>
            <w:r>
              <w:rPr>
                <w:rFonts w:ascii="Times New Roman" w:eastAsia="Cambria" w:hAnsi="Times New Roman" w:cs="Times New Roman"/>
                <w:sz w:val="24"/>
                <w:szCs w:val="24"/>
              </w:rPr>
              <w:t>Publicaciones</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widowControl w:val="0"/>
              <w:jc w:val="both"/>
              <w:rPr>
                <w:rFonts w:ascii="Times New Roman" w:hAnsi="Times New Roman" w:cs="Times New Roman"/>
                <w:sz w:val="24"/>
                <w:szCs w:val="24"/>
              </w:rPr>
            </w:pPr>
            <w:r>
              <w:rPr>
                <w:rFonts w:ascii="Times New Roman" w:hAnsi="Times New Roman" w:cs="Times New Roman"/>
                <w:sz w:val="24"/>
                <w:szCs w:val="24"/>
              </w:rPr>
              <w:t>Libros, traducciones publicación en revistas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5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sz w:val="24"/>
                <w:szCs w:val="24"/>
              </w:rPr>
            </w:pPr>
            <w:r>
              <w:rPr>
                <w:rFonts w:ascii="Times New Roman" w:eastAsia="Cambria" w:hAnsi="Times New Roman" w:cs="Times New Roman"/>
                <w:sz w:val="24"/>
                <w:szCs w:val="24"/>
              </w:rPr>
              <w:t>Servicios técnicos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rPr>
                <w:rFonts w:ascii="Times New Roman" w:hAnsi="Times New Roman" w:cs="Times New Roman"/>
                <w:sz w:val="24"/>
                <w:szCs w:val="24"/>
              </w:rPr>
            </w:pPr>
            <w:r>
              <w:rPr>
                <w:rFonts w:ascii="Times New Roman" w:hAnsi="Times New Roman" w:cs="Times New Roman"/>
                <w:sz w:val="24"/>
                <w:szCs w:val="24"/>
              </w:rPr>
              <w:t>Laboratorios, personas naturales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198"/>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left="1"/>
              <w:jc w:val="center"/>
              <w:rPr>
                <w:rFonts w:ascii="Times New Roman" w:hAnsi="Times New Roman" w:cs="Times New Roman"/>
                <w:sz w:val="24"/>
                <w:szCs w:val="24"/>
              </w:rPr>
            </w:pPr>
            <w:r>
              <w:rPr>
                <w:rFonts w:ascii="Times New Roman" w:eastAsia="Cambria" w:hAnsi="Times New Roman" w:cs="Times New Roman"/>
                <w:sz w:val="24"/>
                <w:szCs w:val="24"/>
              </w:rPr>
              <w:lastRenderedPageBreak/>
              <w:t>Movilidad académica</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rPr>
                <w:rFonts w:ascii="Times New Roman" w:hAnsi="Times New Roman" w:cs="Times New Roman"/>
                <w:sz w:val="24"/>
                <w:szCs w:val="24"/>
              </w:rPr>
            </w:pPr>
            <w:r>
              <w:rPr>
                <w:rFonts w:ascii="Times New Roman" w:hAnsi="Times New Roman" w:cs="Times New Roman"/>
                <w:sz w:val="24"/>
                <w:szCs w:val="24"/>
              </w:rPr>
              <w:t xml:space="preserve">Eventos para socialización de avances y resultados, </w:t>
            </w:r>
            <w:r w:rsidRPr="005F220A">
              <w:rPr>
                <w:rFonts w:ascii="Times New Roman" w:hAnsi="Times New Roman" w:cs="Times New Roman"/>
                <w:sz w:val="24"/>
                <w:szCs w:val="24"/>
              </w:rPr>
              <w:t>pasantías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jc w:val="center"/>
              <w:rPr>
                <w:rFonts w:ascii="Times New Roman" w:hAnsi="Times New Roman" w:cs="Times New Roman"/>
                <w:sz w:val="24"/>
                <w:szCs w:val="24"/>
              </w:rPr>
            </w:pPr>
            <w:r>
              <w:rPr>
                <w:rFonts w:ascii="Times New Roman" w:eastAsia="Cambria" w:hAnsi="Times New Roman" w:cs="Times New Roman"/>
                <w:sz w:val="24"/>
                <w:szCs w:val="24"/>
              </w:rPr>
              <w:t>Organización de eventos</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rPr>
                <w:rFonts w:ascii="Times New Roman" w:hAnsi="Times New Roman" w:cs="Times New Roman"/>
                <w:sz w:val="24"/>
                <w:szCs w:val="24"/>
              </w:rPr>
            </w:pPr>
            <w:r>
              <w:rPr>
                <w:rFonts w:ascii="Times New Roman" w:hAnsi="Times New Roman" w:cs="Times New Roman"/>
                <w:sz w:val="24"/>
                <w:szCs w:val="24"/>
              </w:rPr>
              <w:t>Eventos para difusión de resultados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9024" w:type="dxa"/>
            <w:gridSpan w:val="3"/>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b/>
                <w:sz w:val="28"/>
                <w:szCs w:val="24"/>
              </w:rPr>
            </w:pPr>
            <w:r>
              <w:rPr>
                <w:rFonts w:ascii="Times New Roman" w:hAnsi="Times New Roman" w:cs="Times New Roman"/>
                <w:b/>
                <w:sz w:val="28"/>
                <w:szCs w:val="24"/>
              </w:rPr>
              <w:t>Contrapartida externa</w:t>
            </w:r>
          </w:p>
          <w:p w:rsidR="001227C6" w:rsidRDefault="001227C6" w:rsidP="00EA3758">
            <w:pPr>
              <w:jc w:val="center"/>
              <w:rPr>
                <w:rFonts w:ascii="Times New Roman" w:hAnsi="Times New Roman" w:cs="Times New Roman"/>
                <w:sz w:val="24"/>
                <w:szCs w:val="24"/>
              </w:rPr>
            </w:pPr>
            <w:r>
              <w:rPr>
                <w:rFonts w:ascii="Times New Roman" w:hAnsi="Times New Roman" w:cs="Times New Roman"/>
                <w:szCs w:val="24"/>
              </w:rPr>
              <w:t>Para proyectos en cooperación y alianza estratégica</w:t>
            </w: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jc w:val="center"/>
              <w:rPr>
                <w:rFonts w:ascii="Times New Roman" w:eastAsia="Cambria" w:hAnsi="Times New Roman" w:cs="Times New Roman"/>
                <w:b/>
                <w:sz w:val="24"/>
                <w:szCs w:val="24"/>
              </w:rPr>
            </w:pPr>
            <w:r>
              <w:rPr>
                <w:rFonts w:ascii="Times New Roman" w:eastAsia="Cambria" w:hAnsi="Times New Roman" w:cs="Times New Roman"/>
                <w:b/>
                <w:sz w:val="24"/>
                <w:szCs w:val="24"/>
              </w:rPr>
              <w:t>Institución</w:t>
            </w: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rPr>
                <w:rFonts w:ascii="Times New Roman" w:hAnsi="Times New Roman" w:cs="Times New Roman"/>
                <w:b/>
                <w:sz w:val="24"/>
                <w:szCs w:val="24"/>
              </w:rPr>
            </w:pPr>
            <w:r>
              <w:rPr>
                <w:rFonts w:ascii="Times New Roman" w:hAnsi="Times New Roman" w:cs="Times New Roman"/>
                <w:b/>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jc w:val="center"/>
              <w:rPr>
                <w:rFonts w:ascii="Times New Roman" w:hAnsi="Times New Roman" w:cs="Times New Roman"/>
                <w:b/>
                <w:sz w:val="24"/>
                <w:szCs w:val="24"/>
              </w:rPr>
            </w:pPr>
            <w:r>
              <w:rPr>
                <w:rFonts w:ascii="Times New Roman" w:hAnsi="Times New Roman" w:cs="Times New Roman"/>
                <w:b/>
                <w:sz w:val="24"/>
                <w:szCs w:val="24"/>
              </w:rPr>
              <w:t>Monto</w:t>
            </w: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rPr>
                <w:rFonts w:ascii="Times New Roman" w:hAnsi="Times New Roman" w:cs="Times New Roman"/>
                <w:sz w:val="24"/>
                <w:szCs w:val="24"/>
              </w:rPr>
            </w:pPr>
            <w:r>
              <w:rPr>
                <w:rFonts w:ascii="Times New Roman" w:hAnsi="Times New Roman" w:cs="Times New Roman"/>
                <w:sz w:val="24"/>
                <w:szCs w:val="24"/>
              </w:rPr>
              <w:t>Detalle los montos y los conceptos</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ind w:right="2"/>
              <w:rPr>
                <w:rFonts w:ascii="Times New Roman" w:hAnsi="Times New Roman" w:cs="Times New Roman"/>
                <w:sz w:val="24"/>
                <w:szCs w:val="24"/>
              </w:rPr>
            </w:pP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r w:rsidR="001227C6" w:rsidTr="00EA3758">
        <w:trPr>
          <w:trHeight w:val="70"/>
        </w:trPr>
        <w:tc>
          <w:tcPr>
            <w:tcW w:w="3510"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ind w:right="2"/>
              <w:jc w:val="center"/>
              <w:rPr>
                <w:rFonts w:ascii="Times New Roman" w:eastAsia="Cambria" w:hAnsi="Times New Roman" w:cs="Times New Roman"/>
                <w:b/>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hideMark/>
          </w:tcPr>
          <w:p w:rsidR="001227C6" w:rsidRDefault="001227C6" w:rsidP="00EA3758">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rsidR="001227C6" w:rsidRDefault="001227C6" w:rsidP="00EA3758">
            <w:pPr>
              <w:jc w:val="center"/>
              <w:rPr>
                <w:rFonts w:ascii="Times New Roman" w:hAnsi="Times New Roman" w:cs="Times New Roman"/>
                <w:sz w:val="24"/>
                <w:szCs w:val="24"/>
              </w:rPr>
            </w:pPr>
          </w:p>
        </w:tc>
      </w:tr>
    </w:tbl>
    <w:p w:rsidR="001227C6" w:rsidRDefault="001227C6" w:rsidP="001227C6">
      <w:pPr>
        <w:jc w:val="both"/>
        <w:rPr>
          <w:rFonts w:ascii="Times New Roman" w:hAnsi="Times New Roman"/>
          <w:sz w:val="24"/>
        </w:rPr>
      </w:pPr>
    </w:p>
    <w:p w:rsidR="001227C6" w:rsidRDefault="001227C6" w:rsidP="001227C6">
      <w:pPr>
        <w:jc w:val="both"/>
        <w:rPr>
          <w:rFonts w:ascii="Times New Roman" w:hAnsi="Times New Roman"/>
          <w:sz w:val="24"/>
        </w:rPr>
      </w:pPr>
      <w:r>
        <w:rPr>
          <w:rFonts w:ascii="Times New Roman" w:hAnsi="Times New Roman"/>
          <w:sz w:val="24"/>
        </w:rPr>
        <w:t>Cronograma</w:t>
      </w:r>
    </w:p>
    <w:tbl>
      <w:tblPr>
        <w:tblW w:w="5324" w:type="pct"/>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71"/>
        <w:gridCol w:w="551"/>
        <w:gridCol w:w="665"/>
        <w:gridCol w:w="581"/>
        <w:gridCol w:w="484"/>
        <w:gridCol w:w="540"/>
        <w:gridCol w:w="514"/>
        <w:gridCol w:w="473"/>
        <w:gridCol w:w="613"/>
        <w:gridCol w:w="877"/>
        <w:gridCol w:w="681"/>
        <w:gridCol w:w="850"/>
        <w:gridCol w:w="800"/>
      </w:tblGrid>
      <w:tr w:rsidR="001227C6" w:rsidRPr="00AE32D5" w:rsidTr="00EA3758">
        <w:tc>
          <w:tcPr>
            <w:tcW w:w="946" w:type="pct"/>
            <w:tcBorders>
              <w:left w:val="nil"/>
              <w:right w:val="nil"/>
            </w:tcBorders>
          </w:tcPr>
          <w:p w:rsidR="001227C6" w:rsidRPr="00AE32D5" w:rsidRDefault="001227C6" w:rsidP="00EA3758">
            <w:pPr>
              <w:pStyle w:val="Sinespaciado"/>
            </w:pPr>
          </w:p>
        </w:tc>
        <w:tc>
          <w:tcPr>
            <w:tcW w:w="293" w:type="pct"/>
            <w:tcBorders>
              <w:left w:val="nil"/>
              <w:right w:val="nil"/>
            </w:tcBorders>
            <w:vAlign w:val="center"/>
          </w:tcPr>
          <w:p w:rsidR="001227C6" w:rsidRPr="00AE32D5" w:rsidRDefault="001227C6" w:rsidP="00EA3758">
            <w:pPr>
              <w:pStyle w:val="Sinespaciado"/>
            </w:pPr>
          </w:p>
        </w:tc>
        <w:tc>
          <w:tcPr>
            <w:tcW w:w="353" w:type="pct"/>
            <w:tcBorders>
              <w:left w:val="nil"/>
              <w:right w:val="nil"/>
            </w:tcBorders>
            <w:vAlign w:val="center"/>
          </w:tcPr>
          <w:p w:rsidR="001227C6" w:rsidRPr="00AE32D5" w:rsidRDefault="001227C6" w:rsidP="00EA3758">
            <w:pPr>
              <w:pStyle w:val="Sinespaciado"/>
            </w:pPr>
          </w:p>
        </w:tc>
        <w:tc>
          <w:tcPr>
            <w:tcW w:w="309" w:type="pct"/>
            <w:tcBorders>
              <w:left w:val="nil"/>
              <w:right w:val="nil"/>
            </w:tcBorders>
            <w:vAlign w:val="center"/>
          </w:tcPr>
          <w:p w:rsidR="001227C6" w:rsidRPr="00AE32D5" w:rsidRDefault="001227C6" w:rsidP="00EA3758">
            <w:pPr>
              <w:pStyle w:val="Sinespaciado"/>
            </w:pPr>
          </w:p>
        </w:tc>
        <w:tc>
          <w:tcPr>
            <w:tcW w:w="257" w:type="pct"/>
            <w:tcBorders>
              <w:left w:val="nil"/>
              <w:right w:val="nil"/>
            </w:tcBorders>
            <w:vAlign w:val="center"/>
          </w:tcPr>
          <w:p w:rsidR="001227C6" w:rsidRPr="00AE32D5" w:rsidRDefault="001227C6" w:rsidP="00EA3758">
            <w:pPr>
              <w:pStyle w:val="Sinespaciado"/>
            </w:pPr>
          </w:p>
        </w:tc>
        <w:tc>
          <w:tcPr>
            <w:tcW w:w="287" w:type="pct"/>
            <w:tcBorders>
              <w:left w:val="nil"/>
              <w:right w:val="nil"/>
            </w:tcBorders>
            <w:vAlign w:val="center"/>
          </w:tcPr>
          <w:p w:rsidR="001227C6" w:rsidRPr="00AE32D5" w:rsidRDefault="001227C6" w:rsidP="00EA3758">
            <w:pPr>
              <w:pStyle w:val="Sinespaciado"/>
            </w:pPr>
          </w:p>
        </w:tc>
        <w:tc>
          <w:tcPr>
            <w:tcW w:w="273" w:type="pct"/>
            <w:tcBorders>
              <w:left w:val="nil"/>
              <w:right w:val="nil"/>
            </w:tcBorders>
            <w:vAlign w:val="center"/>
          </w:tcPr>
          <w:p w:rsidR="001227C6" w:rsidRPr="00AE32D5" w:rsidRDefault="001227C6" w:rsidP="00EA3758">
            <w:pPr>
              <w:pStyle w:val="Sinespaciado"/>
            </w:pPr>
          </w:p>
        </w:tc>
        <w:tc>
          <w:tcPr>
            <w:tcW w:w="251" w:type="pct"/>
            <w:tcBorders>
              <w:left w:val="nil"/>
              <w:right w:val="nil"/>
            </w:tcBorders>
            <w:vAlign w:val="center"/>
          </w:tcPr>
          <w:p w:rsidR="001227C6" w:rsidRPr="00AE32D5" w:rsidRDefault="001227C6" w:rsidP="00EA3758">
            <w:pPr>
              <w:pStyle w:val="Sinespaciado"/>
            </w:pPr>
          </w:p>
        </w:tc>
        <w:tc>
          <w:tcPr>
            <w:tcW w:w="326" w:type="pct"/>
            <w:tcBorders>
              <w:left w:val="nil"/>
              <w:right w:val="nil"/>
            </w:tcBorders>
            <w:vAlign w:val="center"/>
          </w:tcPr>
          <w:p w:rsidR="001227C6" w:rsidRPr="00AE32D5" w:rsidRDefault="001227C6" w:rsidP="00EA3758">
            <w:pPr>
              <w:pStyle w:val="Sinespaciado"/>
            </w:pPr>
          </w:p>
        </w:tc>
        <w:tc>
          <w:tcPr>
            <w:tcW w:w="466" w:type="pct"/>
            <w:tcBorders>
              <w:left w:val="nil"/>
              <w:right w:val="nil"/>
            </w:tcBorders>
            <w:vAlign w:val="center"/>
          </w:tcPr>
          <w:p w:rsidR="001227C6" w:rsidRPr="00AE32D5" w:rsidRDefault="001227C6" w:rsidP="00EA3758">
            <w:pPr>
              <w:pStyle w:val="Sinespaciado"/>
            </w:pPr>
          </w:p>
        </w:tc>
        <w:tc>
          <w:tcPr>
            <w:tcW w:w="362" w:type="pct"/>
            <w:tcBorders>
              <w:left w:val="nil"/>
              <w:right w:val="nil"/>
            </w:tcBorders>
            <w:vAlign w:val="center"/>
          </w:tcPr>
          <w:p w:rsidR="001227C6" w:rsidRPr="00AE32D5" w:rsidRDefault="001227C6" w:rsidP="00EA3758">
            <w:pPr>
              <w:pStyle w:val="Sinespaciado"/>
            </w:pPr>
          </w:p>
        </w:tc>
        <w:tc>
          <w:tcPr>
            <w:tcW w:w="452" w:type="pct"/>
            <w:tcBorders>
              <w:left w:val="nil"/>
              <w:right w:val="nil"/>
            </w:tcBorders>
            <w:vAlign w:val="center"/>
          </w:tcPr>
          <w:p w:rsidR="001227C6" w:rsidRPr="00AE32D5" w:rsidRDefault="001227C6" w:rsidP="00EA3758">
            <w:pPr>
              <w:pStyle w:val="Sinespaciado"/>
            </w:pPr>
          </w:p>
        </w:tc>
        <w:tc>
          <w:tcPr>
            <w:tcW w:w="425" w:type="pct"/>
            <w:tcBorders>
              <w:left w:val="nil"/>
              <w:right w:val="nil"/>
            </w:tcBorders>
            <w:vAlign w:val="center"/>
          </w:tcPr>
          <w:p w:rsidR="001227C6" w:rsidRPr="00AE32D5" w:rsidRDefault="001227C6" w:rsidP="00EA3758">
            <w:pPr>
              <w:pStyle w:val="Sinespaciado"/>
            </w:pPr>
          </w:p>
        </w:tc>
      </w:tr>
      <w:tr w:rsidR="001227C6" w:rsidRPr="00AE32D5" w:rsidTr="00EA3758">
        <w:tc>
          <w:tcPr>
            <w:tcW w:w="946" w:type="pct"/>
            <w:vMerge w:val="restart"/>
            <w:tcBorders>
              <w:tl2br w:val="single" w:sz="4" w:space="0" w:color="auto"/>
            </w:tcBorders>
            <w:shd w:val="clear" w:color="auto" w:fill="E5B8B7"/>
            <w:vAlign w:val="center"/>
          </w:tcPr>
          <w:p w:rsidR="001227C6" w:rsidRPr="003275B3" w:rsidRDefault="001227C6" w:rsidP="00EA3758">
            <w:pPr>
              <w:widowControl w:val="0"/>
              <w:jc w:val="center"/>
              <w:rPr>
                <w:rFonts w:ascii="Calibri" w:hAnsi="Calibri"/>
                <w:b/>
                <w:color w:val="000000"/>
                <w:szCs w:val="24"/>
              </w:rPr>
            </w:pPr>
            <w:r w:rsidRPr="003275B3">
              <w:rPr>
                <w:rFonts w:ascii="Calibri" w:hAnsi="Calibri"/>
                <w:b/>
                <w:color w:val="000000"/>
                <w:szCs w:val="24"/>
              </w:rPr>
              <w:t xml:space="preserve">                  Mes</w:t>
            </w:r>
          </w:p>
          <w:p w:rsidR="001227C6" w:rsidRPr="00AC24E6" w:rsidRDefault="001227C6" w:rsidP="00EA3758">
            <w:pPr>
              <w:widowControl w:val="0"/>
              <w:rPr>
                <w:rFonts w:ascii="Calibri" w:hAnsi="Calibri"/>
                <w:b/>
                <w:color w:val="000000"/>
                <w:sz w:val="24"/>
                <w:szCs w:val="24"/>
              </w:rPr>
            </w:pPr>
            <w:r w:rsidRPr="003275B3">
              <w:rPr>
                <w:rFonts w:ascii="Calibri" w:hAnsi="Calibri"/>
                <w:b/>
                <w:color w:val="000000"/>
                <w:szCs w:val="24"/>
              </w:rPr>
              <w:t>Actividad</w:t>
            </w:r>
          </w:p>
        </w:tc>
        <w:tc>
          <w:tcPr>
            <w:tcW w:w="4054" w:type="pct"/>
            <w:gridSpan w:val="12"/>
            <w:shd w:val="clear" w:color="auto" w:fill="E5B8B7"/>
            <w:vAlign w:val="center"/>
          </w:tcPr>
          <w:p w:rsidR="001227C6" w:rsidRPr="00AE32D5" w:rsidRDefault="001227C6" w:rsidP="00EA3758">
            <w:pPr>
              <w:widowControl w:val="0"/>
              <w:ind w:left="-1728"/>
              <w:jc w:val="center"/>
              <w:rPr>
                <w:rFonts w:ascii="Calibri" w:hAnsi="Calibri"/>
                <w:b/>
                <w:color w:val="000000"/>
              </w:rPr>
            </w:pPr>
            <w:r w:rsidRPr="00AE32D5">
              <w:rPr>
                <w:rFonts w:ascii="Calibri" w:hAnsi="Calibri"/>
                <w:b/>
                <w:color w:val="000000"/>
              </w:rPr>
              <w:t>MES</w:t>
            </w:r>
          </w:p>
        </w:tc>
      </w:tr>
      <w:tr w:rsidR="001227C6" w:rsidRPr="00AE32D5" w:rsidTr="00EA3758">
        <w:tc>
          <w:tcPr>
            <w:tcW w:w="946" w:type="pct"/>
            <w:vMerge/>
            <w:shd w:val="clear" w:color="auto" w:fill="E5B8B7"/>
            <w:vAlign w:val="center"/>
          </w:tcPr>
          <w:p w:rsidR="001227C6" w:rsidRPr="00AE32D5" w:rsidRDefault="001227C6" w:rsidP="00EA3758">
            <w:pPr>
              <w:widowControl w:val="0"/>
              <w:jc w:val="center"/>
              <w:rPr>
                <w:rFonts w:ascii="Calibri" w:hAnsi="Calibri"/>
                <w:color w:val="000000"/>
              </w:rPr>
            </w:pPr>
          </w:p>
        </w:tc>
        <w:tc>
          <w:tcPr>
            <w:tcW w:w="293"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Enero</w:t>
            </w:r>
          </w:p>
        </w:tc>
        <w:tc>
          <w:tcPr>
            <w:tcW w:w="353"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Febrero</w:t>
            </w:r>
          </w:p>
        </w:tc>
        <w:tc>
          <w:tcPr>
            <w:tcW w:w="309"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Marzo</w:t>
            </w:r>
          </w:p>
        </w:tc>
        <w:tc>
          <w:tcPr>
            <w:tcW w:w="257"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Abril</w:t>
            </w:r>
          </w:p>
        </w:tc>
        <w:tc>
          <w:tcPr>
            <w:tcW w:w="287"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Mayo</w:t>
            </w:r>
          </w:p>
        </w:tc>
        <w:tc>
          <w:tcPr>
            <w:tcW w:w="273"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Junio</w:t>
            </w:r>
          </w:p>
        </w:tc>
        <w:tc>
          <w:tcPr>
            <w:tcW w:w="251"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Julio</w:t>
            </w:r>
          </w:p>
        </w:tc>
        <w:tc>
          <w:tcPr>
            <w:tcW w:w="326"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Agosto</w:t>
            </w:r>
          </w:p>
        </w:tc>
        <w:tc>
          <w:tcPr>
            <w:tcW w:w="466"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Septiembre</w:t>
            </w:r>
          </w:p>
        </w:tc>
        <w:tc>
          <w:tcPr>
            <w:tcW w:w="362"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Octubre</w:t>
            </w:r>
          </w:p>
        </w:tc>
        <w:tc>
          <w:tcPr>
            <w:tcW w:w="452"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Noviembre</w:t>
            </w:r>
          </w:p>
        </w:tc>
        <w:tc>
          <w:tcPr>
            <w:tcW w:w="425" w:type="pct"/>
            <w:shd w:val="clear" w:color="auto" w:fill="E5B8B7"/>
            <w:vAlign w:val="center"/>
          </w:tcPr>
          <w:p w:rsidR="001227C6" w:rsidRPr="00AE32D5" w:rsidRDefault="001227C6" w:rsidP="00EA3758">
            <w:pPr>
              <w:widowControl w:val="0"/>
              <w:jc w:val="center"/>
              <w:rPr>
                <w:rFonts w:ascii="Calibri" w:hAnsi="Calibri"/>
                <w:color w:val="000000"/>
                <w:sz w:val="14"/>
                <w:szCs w:val="14"/>
              </w:rPr>
            </w:pPr>
            <w:r w:rsidRPr="00AE32D5">
              <w:rPr>
                <w:rFonts w:ascii="Calibri" w:hAnsi="Calibri"/>
                <w:color w:val="000000"/>
                <w:sz w:val="14"/>
                <w:szCs w:val="14"/>
              </w:rPr>
              <w:t>Diciembre</w:t>
            </w:r>
          </w:p>
        </w:tc>
      </w:tr>
      <w:tr w:rsidR="001227C6" w:rsidRPr="00AE32D5" w:rsidTr="00EA3758">
        <w:tc>
          <w:tcPr>
            <w:tcW w:w="946" w:type="pct"/>
          </w:tcPr>
          <w:p w:rsidR="001227C6" w:rsidRPr="00F656B1" w:rsidRDefault="001227C6" w:rsidP="00EA3758">
            <w:pPr>
              <w:widowControl w:val="0"/>
              <w:spacing w:after="0" w:line="240" w:lineRule="auto"/>
              <w:jc w:val="both"/>
              <w:rPr>
                <w:rFonts w:ascii="Calibri" w:hAnsi="Calibri"/>
                <w:color w:val="000000"/>
                <w:sz w:val="18"/>
              </w:rPr>
            </w:pPr>
            <w:r>
              <w:rPr>
                <w:rFonts w:ascii="Calibri" w:hAnsi="Calibri"/>
                <w:color w:val="000000"/>
                <w:sz w:val="18"/>
              </w:rPr>
              <w:t>Estado del Arte</w:t>
            </w:r>
          </w:p>
        </w:tc>
        <w:tc>
          <w:tcPr>
            <w:tcW w:w="293" w:type="pct"/>
          </w:tcPr>
          <w:p w:rsidR="001227C6" w:rsidRPr="00212EE6" w:rsidRDefault="001227C6" w:rsidP="00EA3758">
            <w:pPr>
              <w:widowControl w:val="0"/>
              <w:jc w:val="both"/>
              <w:rPr>
                <w:rFonts w:ascii="Calibri" w:hAnsi="Calibri"/>
                <w:color w:val="000000" w:themeColor="text1"/>
              </w:rPr>
            </w:pPr>
            <w:r w:rsidRPr="00212EE6">
              <w:rPr>
                <w:rFonts w:ascii="Calibri" w:hAnsi="Calibri"/>
                <w:color w:val="000000" w:themeColor="text1"/>
              </w:rPr>
              <w:t>X</w:t>
            </w: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1227C6" w:rsidP="00EA3758">
            <w:pPr>
              <w:widowControl w:val="0"/>
              <w:jc w:val="both"/>
              <w:rPr>
                <w:rFonts w:ascii="Calibri" w:hAnsi="Calibri"/>
                <w:color w:val="000000" w:themeColor="text1"/>
              </w:rPr>
            </w:pP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1227C6" w:rsidP="00EA3758">
            <w:pPr>
              <w:widowControl w:val="0"/>
              <w:spacing w:after="0" w:line="240" w:lineRule="auto"/>
              <w:jc w:val="both"/>
              <w:rPr>
                <w:rFonts w:ascii="Calibri" w:hAnsi="Calibri"/>
                <w:color w:val="000000"/>
                <w:sz w:val="18"/>
              </w:rPr>
            </w:pPr>
            <w:r>
              <w:rPr>
                <w:rFonts w:ascii="Calibri" w:hAnsi="Calibri"/>
                <w:color w:val="000000"/>
                <w:sz w:val="18"/>
              </w:rPr>
              <w:t>Planeamiento del problema</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1227C6" w:rsidP="00EA3758">
            <w:pPr>
              <w:widowControl w:val="0"/>
              <w:jc w:val="both"/>
              <w:rPr>
                <w:rFonts w:ascii="Calibri" w:hAnsi="Calibri"/>
                <w:color w:val="000000" w:themeColor="text1"/>
              </w:rPr>
            </w:pP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1227C6" w:rsidP="00EA3758">
            <w:pPr>
              <w:widowControl w:val="0"/>
              <w:spacing w:after="0" w:line="240" w:lineRule="auto"/>
              <w:jc w:val="both"/>
              <w:rPr>
                <w:rFonts w:ascii="Calibri" w:hAnsi="Calibri"/>
                <w:color w:val="000000"/>
                <w:sz w:val="18"/>
              </w:rPr>
            </w:pPr>
            <w:r>
              <w:rPr>
                <w:rFonts w:ascii="Calibri" w:hAnsi="Calibri"/>
                <w:color w:val="000000"/>
                <w:sz w:val="18"/>
              </w:rPr>
              <w:t xml:space="preserve">Selección y recolección de información </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257"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1227C6" w:rsidP="00EA3758">
            <w:pPr>
              <w:widowControl w:val="0"/>
              <w:jc w:val="both"/>
              <w:rPr>
                <w:rFonts w:ascii="Calibri" w:hAnsi="Calibri"/>
                <w:color w:val="000000" w:themeColor="text1"/>
              </w:rPr>
            </w:pP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D9267E" w:rsidP="00EA3758">
            <w:pPr>
              <w:widowControl w:val="0"/>
              <w:spacing w:after="0" w:line="240" w:lineRule="auto"/>
              <w:jc w:val="both"/>
              <w:rPr>
                <w:rFonts w:ascii="Calibri" w:hAnsi="Calibri"/>
                <w:color w:val="000000"/>
                <w:sz w:val="18"/>
              </w:rPr>
            </w:pPr>
            <w:r>
              <w:rPr>
                <w:rFonts w:ascii="Calibri" w:hAnsi="Calibri"/>
                <w:color w:val="000000"/>
                <w:sz w:val="18"/>
              </w:rPr>
              <w:t>Visita a dependencias de la rama judicial</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273" w:type="pct"/>
          </w:tcPr>
          <w:p w:rsidR="001227C6" w:rsidRPr="00212EE6" w:rsidRDefault="00D9267E" w:rsidP="00EA3758">
            <w:pPr>
              <w:widowControl w:val="0"/>
              <w:jc w:val="both"/>
              <w:rPr>
                <w:rFonts w:ascii="Calibri" w:hAnsi="Calibri"/>
                <w:color w:val="000000" w:themeColor="text1"/>
              </w:rPr>
            </w:pPr>
            <w:r>
              <w:rPr>
                <w:rFonts w:ascii="Calibri" w:hAnsi="Calibri"/>
                <w:color w:val="000000" w:themeColor="text1"/>
              </w:rPr>
              <w:t>x</w:t>
            </w: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1227C6" w:rsidP="00EA3758">
            <w:pPr>
              <w:widowControl w:val="0"/>
              <w:jc w:val="both"/>
              <w:rPr>
                <w:rFonts w:ascii="Calibri" w:hAnsi="Calibri"/>
                <w:color w:val="000000" w:themeColor="text1"/>
              </w:rPr>
            </w:pP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D9267E" w:rsidP="00EA3758">
            <w:pPr>
              <w:widowControl w:val="0"/>
              <w:spacing w:after="0" w:line="240" w:lineRule="auto"/>
              <w:jc w:val="both"/>
              <w:rPr>
                <w:rFonts w:ascii="Calibri" w:hAnsi="Calibri"/>
                <w:color w:val="000000"/>
                <w:sz w:val="18"/>
              </w:rPr>
            </w:pPr>
            <w:r>
              <w:rPr>
                <w:rFonts w:ascii="Calibri" w:hAnsi="Calibri"/>
                <w:color w:val="000000"/>
                <w:sz w:val="18"/>
              </w:rPr>
              <w:t xml:space="preserve">Revisión de documentos, actas y diagnósticos. </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251"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326" w:type="pct"/>
          </w:tcPr>
          <w:p w:rsidR="001227C6" w:rsidRPr="00212EE6" w:rsidRDefault="001227C6" w:rsidP="00EA3758">
            <w:pPr>
              <w:widowControl w:val="0"/>
              <w:jc w:val="both"/>
              <w:rPr>
                <w:rFonts w:ascii="Calibri" w:hAnsi="Calibri"/>
                <w:color w:val="000000" w:themeColor="text1"/>
                <w:highlight w:val="darkRed"/>
              </w:rPr>
            </w:pP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1227C6" w:rsidP="00EA3758">
            <w:pPr>
              <w:widowControl w:val="0"/>
              <w:spacing w:after="0" w:line="240" w:lineRule="auto"/>
              <w:jc w:val="both"/>
              <w:rPr>
                <w:rFonts w:ascii="Calibri" w:hAnsi="Calibri"/>
                <w:color w:val="000000"/>
                <w:sz w:val="18"/>
              </w:rPr>
            </w:pPr>
            <w:r>
              <w:rPr>
                <w:rFonts w:ascii="Calibri" w:hAnsi="Calibri"/>
                <w:color w:val="000000"/>
                <w:sz w:val="18"/>
              </w:rPr>
              <w:t>Construcción del objetivo general</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9157EC" w:rsidP="00EA3758">
            <w:pPr>
              <w:widowControl w:val="0"/>
              <w:jc w:val="both"/>
              <w:rPr>
                <w:rFonts w:ascii="Calibri" w:hAnsi="Calibri"/>
                <w:color w:val="000000" w:themeColor="text1"/>
              </w:rPr>
            </w:pPr>
            <w:r>
              <w:rPr>
                <w:rFonts w:ascii="Calibri" w:hAnsi="Calibri"/>
                <w:color w:val="000000" w:themeColor="text1"/>
              </w:rPr>
              <w:t>X</w:t>
            </w: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D9267E" w:rsidP="00EA3758">
            <w:pPr>
              <w:widowControl w:val="0"/>
              <w:spacing w:after="0" w:line="240" w:lineRule="auto"/>
              <w:jc w:val="both"/>
              <w:rPr>
                <w:rFonts w:ascii="Calibri" w:hAnsi="Calibri"/>
                <w:color w:val="000000"/>
                <w:sz w:val="18"/>
              </w:rPr>
            </w:pPr>
            <w:r>
              <w:rPr>
                <w:rFonts w:ascii="Calibri" w:hAnsi="Calibri"/>
                <w:color w:val="000000"/>
                <w:sz w:val="18"/>
              </w:rPr>
              <w:t>Construcción de los objetivos generales</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1227C6" w:rsidP="00EA3758">
            <w:pPr>
              <w:widowControl w:val="0"/>
              <w:jc w:val="both"/>
              <w:rPr>
                <w:rFonts w:ascii="Calibri" w:hAnsi="Calibri"/>
                <w:color w:val="000000" w:themeColor="text1"/>
              </w:rPr>
            </w:pPr>
          </w:p>
        </w:tc>
        <w:tc>
          <w:tcPr>
            <w:tcW w:w="466"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362"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452" w:type="pct"/>
          </w:tcPr>
          <w:p w:rsidR="001227C6" w:rsidRPr="00212EE6" w:rsidRDefault="001227C6" w:rsidP="00EA3758">
            <w:pPr>
              <w:widowControl w:val="0"/>
              <w:jc w:val="both"/>
              <w:rPr>
                <w:rFonts w:ascii="Calibri" w:hAnsi="Calibri"/>
                <w:color w:val="000000" w:themeColor="text1"/>
              </w:rPr>
            </w:pPr>
          </w:p>
        </w:tc>
        <w:tc>
          <w:tcPr>
            <w:tcW w:w="425" w:type="pct"/>
          </w:tcPr>
          <w:p w:rsidR="001227C6" w:rsidRPr="00212EE6" w:rsidRDefault="001227C6" w:rsidP="00EA3758">
            <w:pPr>
              <w:widowControl w:val="0"/>
              <w:jc w:val="both"/>
              <w:rPr>
                <w:rFonts w:ascii="Calibri" w:hAnsi="Calibri"/>
                <w:color w:val="000000" w:themeColor="text1"/>
              </w:rPr>
            </w:pPr>
          </w:p>
        </w:tc>
      </w:tr>
      <w:tr w:rsidR="001227C6" w:rsidRPr="00AE32D5" w:rsidTr="00EA3758">
        <w:tc>
          <w:tcPr>
            <w:tcW w:w="946" w:type="pct"/>
          </w:tcPr>
          <w:p w:rsidR="001227C6" w:rsidRPr="00F656B1" w:rsidRDefault="001227C6" w:rsidP="00EA3758">
            <w:pPr>
              <w:widowControl w:val="0"/>
              <w:spacing w:after="0" w:line="240" w:lineRule="auto"/>
              <w:jc w:val="both"/>
              <w:rPr>
                <w:rFonts w:ascii="Calibri" w:hAnsi="Calibri"/>
                <w:color w:val="000000"/>
                <w:sz w:val="18"/>
              </w:rPr>
            </w:pPr>
            <w:r>
              <w:rPr>
                <w:rFonts w:ascii="Calibri" w:hAnsi="Calibri"/>
                <w:color w:val="000000"/>
                <w:sz w:val="18"/>
              </w:rPr>
              <w:t>Construcción final del artículo.</w:t>
            </w:r>
          </w:p>
        </w:tc>
        <w:tc>
          <w:tcPr>
            <w:tcW w:w="293" w:type="pct"/>
          </w:tcPr>
          <w:p w:rsidR="001227C6" w:rsidRPr="00212EE6" w:rsidRDefault="001227C6" w:rsidP="00EA3758">
            <w:pPr>
              <w:widowControl w:val="0"/>
              <w:jc w:val="both"/>
              <w:rPr>
                <w:rFonts w:ascii="Calibri" w:hAnsi="Calibri"/>
                <w:color w:val="000000" w:themeColor="text1"/>
              </w:rPr>
            </w:pPr>
          </w:p>
        </w:tc>
        <w:tc>
          <w:tcPr>
            <w:tcW w:w="353" w:type="pct"/>
          </w:tcPr>
          <w:p w:rsidR="001227C6" w:rsidRPr="00212EE6" w:rsidRDefault="001227C6" w:rsidP="00EA3758">
            <w:pPr>
              <w:widowControl w:val="0"/>
              <w:jc w:val="both"/>
              <w:rPr>
                <w:rFonts w:ascii="Calibri" w:hAnsi="Calibri"/>
                <w:color w:val="000000" w:themeColor="text1"/>
              </w:rPr>
            </w:pPr>
          </w:p>
        </w:tc>
        <w:tc>
          <w:tcPr>
            <w:tcW w:w="309" w:type="pct"/>
          </w:tcPr>
          <w:p w:rsidR="001227C6" w:rsidRPr="00212EE6" w:rsidRDefault="001227C6" w:rsidP="00EA3758">
            <w:pPr>
              <w:widowControl w:val="0"/>
              <w:jc w:val="both"/>
              <w:rPr>
                <w:rFonts w:ascii="Calibri" w:hAnsi="Calibri"/>
                <w:color w:val="000000" w:themeColor="text1"/>
              </w:rPr>
            </w:pPr>
          </w:p>
        </w:tc>
        <w:tc>
          <w:tcPr>
            <w:tcW w:w="257" w:type="pct"/>
          </w:tcPr>
          <w:p w:rsidR="001227C6" w:rsidRPr="00212EE6" w:rsidRDefault="001227C6" w:rsidP="00EA3758">
            <w:pPr>
              <w:widowControl w:val="0"/>
              <w:jc w:val="both"/>
              <w:rPr>
                <w:rFonts w:ascii="Calibri" w:hAnsi="Calibri"/>
                <w:color w:val="000000" w:themeColor="text1"/>
              </w:rPr>
            </w:pPr>
          </w:p>
        </w:tc>
        <w:tc>
          <w:tcPr>
            <w:tcW w:w="287" w:type="pct"/>
          </w:tcPr>
          <w:p w:rsidR="001227C6" w:rsidRPr="00212EE6" w:rsidRDefault="001227C6" w:rsidP="00EA3758">
            <w:pPr>
              <w:widowControl w:val="0"/>
              <w:jc w:val="both"/>
              <w:rPr>
                <w:rFonts w:ascii="Calibri" w:hAnsi="Calibri"/>
                <w:color w:val="000000" w:themeColor="text1"/>
              </w:rPr>
            </w:pPr>
          </w:p>
        </w:tc>
        <w:tc>
          <w:tcPr>
            <w:tcW w:w="273" w:type="pct"/>
          </w:tcPr>
          <w:p w:rsidR="001227C6" w:rsidRPr="00212EE6" w:rsidRDefault="001227C6" w:rsidP="00EA3758">
            <w:pPr>
              <w:widowControl w:val="0"/>
              <w:jc w:val="both"/>
              <w:rPr>
                <w:rFonts w:ascii="Calibri" w:hAnsi="Calibri"/>
                <w:color w:val="000000" w:themeColor="text1"/>
              </w:rPr>
            </w:pPr>
          </w:p>
        </w:tc>
        <w:tc>
          <w:tcPr>
            <w:tcW w:w="251" w:type="pct"/>
          </w:tcPr>
          <w:p w:rsidR="001227C6" w:rsidRPr="00212EE6" w:rsidRDefault="001227C6" w:rsidP="00EA3758">
            <w:pPr>
              <w:widowControl w:val="0"/>
              <w:jc w:val="both"/>
              <w:rPr>
                <w:rFonts w:ascii="Calibri" w:hAnsi="Calibri"/>
                <w:color w:val="000000" w:themeColor="text1"/>
              </w:rPr>
            </w:pPr>
          </w:p>
        </w:tc>
        <w:tc>
          <w:tcPr>
            <w:tcW w:w="326" w:type="pct"/>
          </w:tcPr>
          <w:p w:rsidR="001227C6" w:rsidRPr="00212EE6" w:rsidRDefault="001227C6" w:rsidP="00EA3758">
            <w:pPr>
              <w:widowControl w:val="0"/>
              <w:jc w:val="both"/>
              <w:rPr>
                <w:rFonts w:ascii="Calibri" w:hAnsi="Calibri"/>
                <w:color w:val="000000" w:themeColor="text1"/>
              </w:rPr>
            </w:pPr>
          </w:p>
        </w:tc>
        <w:tc>
          <w:tcPr>
            <w:tcW w:w="466" w:type="pct"/>
          </w:tcPr>
          <w:p w:rsidR="001227C6" w:rsidRPr="00212EE6" w:rsidRDefault="001227C6" w:rsidP="00EA3758">
            <w:pPr>
              <w:widowControl w:val="0"/>
              <w:jc w:val="both"/>
              <w:rPr>
                <w:rFonts w:ascii="Calibri" w:hAnsi="Calibri"/>
                <w:color w:val="000000" w:themeColor="text1"/>
              </w:rPr>
            </w:pPr>
          </w:p>
        </w:tc>
        <w:tc>
          <w:tcPr>
            <w:tcW w:w="362" w:type="pct"/>
          </w:tcPr>
          <w:p w:rsidR="001227C6" w:rsidRPr="00212EE6" w:rsidRDefault="001227C6" w:rsidP="00EA3758">
            <w:pPr>
              <w:widowControl w:val="0"/>
              <w:jc w:val="both"/>
              <w:rPr>
                <w:rFonts w:ascii="Calibri" w:hAnsi="Calibri"/>
                <w:color w:val="000000" w:themeColor="text1"/>
              </w:rPr>
            </w:pPr>
          </w:p>
        </w:tc>
        <w:tc>
          <w:tcPr>
            <w:tcW w:w="452"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c>
          <w:tcPr>
            <w:tcW w:w="425" w:type="pct"/>
          </w:tcPr>
          <w:p w:rsidR="001227C6" w:rsidRPr="00212EE6" w:rsidRDefault="001227C6" w:rsidP="00EA3758">
            <w:pPr>
              <w:widowControl w:val="0"/>
              <w:jc w:val="both"/>
              <w:rPr>
                <w:rFonts w:ascii="Calibri" w:hAnsi="Calibri"/>
                <w:color w:val="000000" w:themeColor="text1"/>
              </w:rPr>
            </w:pPr>
            <w:r>
              <w:rPr>
                <w:rFonts w:ascii="Calibri" w:hAnsi="Calibri"/>
                <w:color w:val="000000" w:themeColor="text1"/>
              </w:rPr>
              <w:t>x</w:t>
            </w:r>
          </w:p>
        </w:tc>
      </w:tr>
    </w:tbl>
    <w:p w:rsidR="001227C6" w:rsidRDefault="001227C6" w:rsidP="001227C6">
      <w:pPr>
        <w:jc w:val="both"/>
        <w:rPr>
          <w:rFonts w:ascii="Times New Roman" w:hAnsi="Times New Roman"/>
          <w:sz w:val="24"/>
        </w:rPr>
      </w:pPr>
    </w:p>
    <w:p w:rsidR="00D9267E" w:rsidRDefault="00D9267E" w:rsidP="001227C6">
      <w:pPr>
        <w:jc w:val="both"/>
        <w:rPr>
          <w:rFonts w:ascii="Times New Roman" w:hAnsi="Times New Roman"/>
          <w:sz w:val="24"/>
        </w:rPr>
      </w:pPr>
    </w:p>
    <w:p w:rsidR="001227C6" w:rsidRDefault="001227C6" w:rsidP="001227C6">
      <w:pPr>
        <w:jc w:val="both"/>
        <w:rPr>
          <w:rFonts w:ascii="Times New Roman" w:hAnsi="Times New Roman"/>
          <w:sz w:val="24"/>
        </w:rPr>
      </w:pPr>
    </w:p>
    <w:p w:rsidR="00A24297" w:rsidRDefault="00A24297" w:rsidP="005410B3">
      <w:pPr>
        <w:jc w:val="both"/>
        <w:rPr>
          <w:rFonts w:ascii="Times New Roman" w:hAnsi="Times New Roman"/>
          <w:sz w:val="24"/>
        </w:rPr>
      </w:pPr>
    </w:p>
    <w:p w:rsidR="005410B3" w:rsidRDefault="00435A9F" w:rsidP="005410B3">
      <w:pPr>
        <w:jc w:val="both"/>
        <w:rPr>
          <w:rFonts w:ascii="Times New Roman" w:hAnsi="Times New Roman"/>
          <w:sz w:val="24"/>
        </w:rPr>
      </w:pPr>
      <w:r>
        <w:rPr>
          <w:rFonts w:ascii="Times New Roman" w:hAnsi="Times New Roman"/>
          <w:sz w:val="24"/>
        </w:rPr>
        <w:lastRenderedPageBreak/>
        <w:t>Bibliografía:</w:t>
      </w:r>
    </w:p>
    <w:p w:rsidR="00A24297" w:rsidRPr="00BF2B5C" w:rsidRDefault="00A24297" w:rsidP="00A24297">
      <w:pPr>
        <w:pStyle w:val="Textonotapie"/>
        <w:ind w:left="709" w:hanging="709"/>
        <w:jc w:val="both"/>
        <w:rPr>
          <w:rFonts w:ascii="Arial" w:hAnsi="Arial" w:cs="Arial"/>
          <w:smallCaps/>
          <w:color w:val="000000"/>
          <w:sz w:val="24"/>
          <w:szCs w:val="24"/>
          <w:lang w:val="es-ES"/>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Barriuso Ruiz, Carlos</w:t>
      </w:r>
      <w:r w:rsidRPr="00BF2B5C">
        <w:rPr>
          <w:rFonts w:ascii="Arial" w:hAnsi="Arial" w:cs="Arial"/>
          <w:color w:val="000000"/>
          <w:sz w:val="24"/>
          <w:szCs w:val="24"/>
        </w:rPr>
        <w:t xml:space="preserve">: </w:t>
      </w:r>
      <w:r w:rsidRPr="00BF2B5C">
        <w:rPr>
          <w:rFonts w:ascii="Arial" w:hAnsi="Arial" w:cs="Arial"/>
          <w:i/>
          <w:color w:val="000000"/>
          <w:sz w:val="24"/>
          <w:szCs w:val="24"/>
        </w:rPr>
        <w:t>La contratación electrónica</w:t>
      </w:r>
      <w:r w:rsidRPr="00BF2B5C">
        <w:rPr>
          <w:rFonts w:ascii="Arial" w:hAnsi="Arial" w:cs="Arial"/>
          <w:color w:val="000000"/>
          <w:sz w:val="24"/>
          <w:szCs w:val="24"/>
        </w:rPr>
        <w:t>, Madrid, Dykinson, 1998.</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Bettoni Traube, Alejandro</w:t>
      </w:r>
      <w:r w:rsidRPr="00BF2B5C">
        <w:rPr>
          <w:rFonts w:ascii="Arial" w:hAnsi="Arial" w:cs="Arial"/>
          <w:color w:val="000000"/>
          <w:sz w:val="24"/>
          <w:szCs w:val="24"/>
        </w:rPr>
        <w:t xml:space="preserve">: “La contratación electrónica en la nueva ley de certificados, firmas digitales y documentos electrónicos”, </w:t>
      </w:r>
      <w:r w:rsidRPr="00BF2B5C">
        <w:rPr>
          <w:rFonts w:ascii="Arial" w:hAnsi="Arial" w:cs="Arial"/>
          <w:iCs/>
          <w:color w:val="000000"/>
          <w:sz w:val="24"/>
          <w:szCs w:val="24"/>
        </w:rPr>
        <w:t>en</w:t>
      </w:r>
      <w:r w:rsidRPr="00BF2B5C">
        <w:rPr>
          <w:rFonts w:ascii="Arial" w:hAnsi="Arial" w:cs="Arial"/>
          <w:i/>
          <w:iCs/>
          <w:color w:val="000000"/>
          <w:sz w:val="24"/>
          <w:szCs w:val="24"/>
        </w:rPr>
        <w:t xml:space="preserve"> </w:t>
      </w:r>
      <w:r w:rsidRPr="00BF2B5C">
        <w:rPr>
          <w:rFonts w:ascii="Arial" w:hAnsi="Arial" w:cs="Arial"/>
          <w:i/>
          <w:color w:val="000000"/>
          <w:sz w:val="24"/>
          <w:szCs w:val="24"/>
        </w:rPr>
        <w:t>Revista</w:t>
      </w:r>
      <w:r w:rsidRPr="00BF2B5C">
        <w:rPr>
          <w:rFonts w:ascii="Arial" w:hAnsi="Arial" w:cs="Arial"/>
          <w:color w:val="000000"/>
          <w:sz w:val="24"/>
          <w:szCs w:val="24"/>
        </w:rPr>
        <w:t xml:space="preserve"> </w:t>
      </w:r>
      <w:r w:rsidRPr="00BF2B5C">
        <w:rPr>
          <w:rFonts w:ascii="Arial" w:hAnsi="Arial" w:cs="Arial"/>
          <w:i/>
          <w:color w:val="000000"/>
          <w:sz w:val="24"/>
          <w:szCs w:val="24"/>
        </w:rPr>
        <w:t>Ivstitia</w:t>
      </w:r>
      <w:r w:rsidRPr="00BF2B5C">
        <w:rPr>
          <w:rFonts w:ascii="Arial" w:hAnsi="Arial" w:cs="Arial"/>
          <w:color w:val="000000"/>
          <w:sz w:val="24"/>
          <w:szCs w:val="24"/>
        </w:rPr>
        <w:t xml:space="preserve">, San José,  núm. 229, 2006. </w:t>
      </w:r>
    </w:p>
    <w:p w:rsidR="00A24297" w:rsidRPr="00BF2B5C" w:rsidRDefault="00A24297" w:rsidP="00A24297">
      <w:pPr>
        <w:spacing w:after="0" w:line="240" w:lineRule="auto"/>
        <w:ind w:left="709" w:hanging="709"/>
        <w:jc w:val="both"/>
        <w:rPr>
          <w:rFonts w:ascii="Arial" w:hAnsi="Arial" w:cs="Arial"/>
          <w:bCs/>
          <w:smallCaps/>
          <w:color w:val="000000"/>
          <w:sz w:val="24"/>
          <w:szCs w:val="24"/>
          <w:lang w:val="es-ES"/>
        </w:rPr>
      </w:pPr>
    </w:p>
    <w:p w:rsidR="00A24297" w:rsidRPr="00BF2B5C" w:rsidRDefault="00A24297" w:rsidP="00A24297">
      <w:pPr>
        <w:spacing w:after="0" w:line="240" w:lineRule="auto"/>
        <w:ind w:left="709" w:hanging="709"/>
        <w:jc w:val="both"/>
        <w:rPr>
          <w:rFonts w:ascii="Arial" w:hAnsi="Arial" w:cs="Arial"/>
          <w:color w:val="000000"/>
          <w:sz w:val="24"/>
          <w:szCs w:val="24"/>
          <w:lang w:val="es-ES"/>
        </w:rPr>
      </w:pPr>
      <w:r w:rsidRPr="00BF2B5C">
        <w:rPr>
          <w:rFonts w:ascii="Arial" w:hAnsi="Arial" w:cs="Arial"/>
          <w:bCs/>
          <w:smallCaps/>
          <w:color w:val="000000"/>
          <w:sz w:val="24"/>
          <w:szCs w:val="24"/>
          <w:lang w:val="es-ES"/>
        </w:rPr>
        <w:t xml:space="preserve">Canelo, Carola, </w:t>
      </w:r>
      <w:r w:rsidRPr="00BF2B5C">
        <w:rPr>
          <w:rFonts w:ascii="Arial" w:hAnsi="Arial" w:cs="Arial"/>
          <w:bCs/>
          <w:color w:val="000000"/>
          <w:sz w:val="24"/>
          <w:szCs w:val="24"/>
          <w:lang w:val="es-ES"/>
        </w:rPr>
        <w:t>y otros:</w:t>
      </w:r>
      <w:r w:rsidRPr="00BF2B5C">
        <w:rPr>
          <w:rFonts w:ascii="Arial" w:hAnsi="Arial" w:cs="Arial"/>
          <w:i/>
          <w:color w:val="000000"/>
          <w:sz w:val="24"/>
          <w:szCs w:val="24"/>
          <w:lang w:val="es-ES"/>
        </w:rPr>
        <w:t xml:space="preserve"> </w:t>
      </w:r>
      <w:r w:rsidRPr="00BF2B5C">
        <w:rPr>
          <w:rFonts w:ascii="Arial" w:hAnsi="Arial" w:cs="Arial"/>
          <w:color w:val="000000"/>
          <w:sz w:val="24"/>
          <w:szCs w:val="24"/>
          <w:lang w:val="es-ES"/>
        </w:rPr>
        <w:t xml:space="preserve">“El documento electrónico. Aspectos procesales”,  en </w:t>
      </w:r>
      <w:r w:rsidRPr="00BF2B5C">
        <w:rPr>
          <w:rFonts w:ascii="Arial" w:hAnsi="Arial" w:cs="Arial"/>
          <w:i/>
          <w:color w:val="000000"/>
          <w:sz w:val="24"/>
          <w:szCs w:val="24"/>
          <w:lang w:val="es-ES"/>
        </w:rPr>
        <w:t>Revista Chilena de Derecho Informático</w:t>
      </w:r>
      <w:r w:rsidRPr="00BF2B5C">
        <w:rPr>
          <w:rFonts w:ascii="Arial" w:hAnsi="Arial" w:cs="Arial"/>
          <w:color w:val="000000"/>
          <w:sz w:val="24"/>
          <w:szCs w:val="24"/>
          <w:lang w:val="es-ES"/>
        </w:rPr>
        <w:t>, núm. 4, mayo de 2004.</w:t>
      </w:r>
    </w:p>
    <w:p w:rsidR="00A24297" w:rsidRPr="00BF2B5C" w:rsidRDefault="00A24297" w:rsidP="00A24297">
      <w:pPr>
        <w:spacing w:after="0" w:line="240" w:lineRule="auto"/>
        <w:ind w:left="709" w:hanging="709"/>
        <w:jc w:val="both"/>
        <w:rPr>
          <w:rFonts w:ascii="Arial" w:hAnsi="Arial" w:cs="Arial"/>
          <w:smallCaps/>
          <w:color w:val="000000"/>
          <w:sz w:val="24"/>
          <w:szCs w:val="24"/>
        </w:rPr>
      </w:pPr>
    </w:p>
    <w:p w:rsidR="00A24297" w:rsidRPr="00BF2B5C" w:rsidRDefault="00A24297" w:rsidP="00A24297">
      <w:pPr>
        <w:spacing w:after="0" w:line="240" w:lineRule="auto"/>
        <w:ind w:left="709" w:hanging="709"/>
        <w:jc w:val="both"/>
        <w:rPr>
          <w:rFonts w:ascii="Arial" w:hAnsi="Arial" w:cs="Arial"/>
          <w:color w:val="000000"/>
          <w:sz w:val="24"/>
          <w:szCs w:val="24"/>
          <w:lang w:val="es-ES"/>
        </w:rPr>
      </w:pPr>
      <w:r w:rsidRPr="00BF2B5C">
        <w:rPr>
          <w:rFonts w:ascii="Arial" w:hAnsi="Arial" w:cs="Arial"/>
          <w:smallCaps/>
          <w:color w:val="000000"/>
          <w:sz w:val="24"/>
          <w:szCs w:val="24"/>
        </w:rPr>
        <w:t>CARABAJO CASCON, Fernando</w:t>
      </w:r>
      <w:r w:rsidRPr="00BF2B5C">
        <w:rPr>
          <w:rFonts w:ascii="Arial" w:hAnsi="Arial" w:cs="Arial"/>
          <w:color w:val="000000"/>
          <w:sz w:val="24"/>
          <w:szCs w:val="24"/>
          <w:lang w:val="es-ES"/>
        </w:rPr>
        <w:t>.  Localización, identificación y distinción en la red. La problemática entre signos distintivos y nombres de dominio de Internet. En el comercio electrónico, editorial Edisofer, Madrid, España, 2001.</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Cruz Rivero, Diego</w:t>
      </w:r>
      <w:r w:rsidRPr="00BF2B5C">
        <w:rPr>
          <w:rFonts w:ascii="Arial" w:hAnsi="Arial" w:cs="Arial"/>
          <w:color w:val="000000"/>
          <w:sz w:val="24"/>
          <w:szCs w:val="24"/>
        </w:rPr>
        <w:t xml:space="preserve">: “Análisis de los antecedentes del concepto de Firma electrónica como equivalente de la firma manuscrita”, en </w:t>
      </w:r>
      <w:r w:rsidRPr="00BF2B5C">
        <w:rPr>
          <w:rFonts w:ascii="Arial" w:hAnsi="Arial" w:cs="Arial"/>
          <w:i/>
          <w:color w:val="000000"/>
          <w:sz w:val="24"/>
          <w:szCs w:val="24"/>
        </w:rPr>
        <w:t>Revista de la Contratación Electrónica,</w:t>
      </w:r>
      <w:r w:rsidRPr="00BF2B5C">
        <w:rPr>
          <w:rFonts w:ascii="Arial" w:hAnsi="Arial" w:cs="Arial"/>
          <w:color w:val="000000"/>
          <w:sz w:val="24"/>
          <w:szCs w:val="24"/>
        </w:rPr>
        <w:t xml:space="preserve"> núm. 60, 2005.</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Davara Rodríguez, Miguel Ángel</w:t>
      </w:r>
      <w:r w:rsidRPr="00BF2B5C">
        <w:rPr>
          <w:rFonts w:ascii="Arial" w:hAnsi="Arial" w:cs="Arial"/>
          <w:color w:val="000000"/>
          <w:sz w:val="24"/>
          <w:szCs w:val="24"/>
        </w:rPr>
        <w:t xml:space="preserve">: </w:t>
      </w:r>
      <w:r w:rsidRPr="00BF2B5C">
        <w:rPr>
          <w:rFonts w:ascii="Arial" w:hAnsi="Arial" w:cs="Arial"/>
          <w:i/>
          <w:color w:val="000000"/>
          <w:sz w:val="24"/>
          <w:szCs w:val="24"/>
        </w:rPr>
        <w:t xml:space="preserve">Derecho informático, </w:t>
      </w:r>
      <w:r w:rsidRPr="00BF2B5C">
        <w:rPr>
          <w:rFonts w:ascii="Arial" w:hAnsi="Arial" w:cs="Arial"/>
          <w:color w:val="000000"/>
          <w:sz w:val="24"/>
          <w:szCs w:val="24"/>
        </w:rPr>
        <w:t>Pamplona, Aranzadi, 2008</w:t>
      </w:r>
    </w:p>
    <w:p w:rsidR="00A24297" w:rsidRPr="00BF2B5C" w:rsidRDefault="00A24297" w:rsidP="00A24297">
      <w:pPr>
        <w:spacing w:after="0" w:line="240" w:lineRule="auto"/>
        <w:ind w:left="709" w:hanging="709"/>
        <w:rPr>
          <w:rFonts w:ascii="Arial" w:hAnsi="Arial" w:cs="Arial"/>
          <w:smallCaps/>
          <w:color w:val="000000"/>
          <w:sz w:val="24"/>
          <w:szCs w:val="24"/>
        </w:rPr>
      </w:pPr>
    </w:p>
    <w:p w:rsidR="00A24297" w:rsidRPr="00BF2B5C" w:rsidRDefault="00A24297" w:rsidP="00A24297">
      <w:pPr>
        <w:spacing w:after="0" w:line="240" w:lineRule="auto"/>
        <w:ind w:left="709" w:hanging="709"/>
        <w:jc w:val="both"/>
        <w:rPr>
          <w:rFonts w:ascii="Arial" w:hAnsi="Arial" w:cs="Arial"/>
          <w:smallCaps/>
          <w:color w:val="000000"/>
          <w:sz w:val="24"/>
          <w:szCs w:val="24"/>
          <w:lang w:val="es-ES"/>
        </w:rPr>
      </w:pPr>
    </w:p>
    <w:p w:rsidR="00A24297" w:rsidRPr="00BF2B5C" w:rsidRDefault="00A24297" w:rsidP="00A24297">
      <w:pPr>
        <w:spacing w:after="0" w:line="240" w:lineRule="auto"/>
        <w:ind w:left="709" w:hanging="709"/>
        <w:jc w:val="both"/>
        <w:rPr>
          <w:rFonts w:ascii="Arial" w:hAnsi="Arial" w:cs="Arial"/>
          <w:color w:val="000000"/>
          <w:sz w:val="24"/>
          <w:szCs w:val="24"/>
          <w:lang w:val="es-ES"/>
        </w:rPr>
      </w:pPr>
      <w:r w:rsidRPr="00BF2B5C">
        <w:rPr>
          <w:rFonts w:ascii="Arial" w:hAnsi="Arial" w:cs="Arial"/>
          <w:smallCaps/>
          <w:color w:val="000000"/>
          <w:sz w:val="24"/>
          <w:szCs w:val="24"/>
          <w:lang w:val="es-ES"/>
        </w:rPr>
        <w:t xml:space="preserve">De Miguel Asensio, Pedro A.: </w:t>
      </w:r>
      <w:r w:rsidRPr="00BF2B5C">
        <w:rPr>
          <w:rFonts w:ascii="Arial" w:hAnsi="Arial" w:cs="Arial"/>
          <w:i/>
          <w:iCs/>
          <w:color w:val="000000"/>
          <w:sz w:val="24"/>
          <w:szCs w:val="24"/>
          <w:lang w:val="es-ES"/>
        </w:rPr>
        <w:t xml:space="preserve">Derecho privado de Internet, </w:t>
      </w:r>
      <w:r w:rsidRPr="00BF2B5C">
        <w:rPr>
          <w:rFonts w:ascii="Arial" w:hAnsi="Arial" w:cs="Arial"/>
          <w:color w:val="000000"/>
          <w:sz w:val="24"/>
          <w:szCs w:val="24"/>
          <w:lang w:val="es-ES"/>
        </w:rPr>
        <w:t>Madrid, Civitas, 2000.</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Giannantonio, Ettore</w:t>
      </w:r>
      <w:r w:rsidRPr="00BF2B5C">
        <w:rPr>
          <w:rFonts w:ascii="Arial" w:hAnsi="Arial" w:cs="Arial"/>
          <w:color w:val="000000"/>
          <w:sz w:val="24"/>
          <w:szCs w:val="24"/>
        </w:rPr>
        <w:t>: “</w:t>
      </w:r>
      <w:r w:rsidRPr="00BF2B5C">
        <w:rPr>
          <w:rFonts w:ascii="Arial" w:hAnsi="Arial" w:cs="Arial"/>
          <w:iCs/>
          <w:color w:val="000000"/>
          <w:sz w:val="24"/>
          <w:szCs w:val="24"/>
        </w:rPr>
        <w:t>El valor jurídico del documento electrónico”</w:t>
      </w:r>
      <w:r w:rsidRPr="00BF2B5C">
        <w:rPr>
          <w:rFonts w:ascii="Arial" w:hAnsi="Arial" w:cs="Arial"/>
          <w:i/>
          <w:iCs/>
          <w:color w:val="000000"/>
          <w:sz w:val="24"/>
          <w:szCs w:val="24"/>
        </w:rPr>
        <w:t xml:space="preserve">, </w:t>
      </w:r>
      <w:r w:rsidRPr="00BF2B5C">
        <w:rPr>
          <w:rFonts w:ascii="Arial" w:hAnsi="Arial" w:cs="Arial"/>
          <w:color w:val="000000"/>
          <w:sz w:val="24"/>
          <w:szCs w:val="24"/>
        </w:rPr>
        <w:t xml:space="preserve">en </w:t>
      </w:r>
      <w:r w:rsidRPr="00BF2B5C">
        <w:rPr>
          <w:rFonts w:ascii="Arial" w:hAnsi="Arial" w:cs="Arial"/>
          <w:i/>
          <w:color w:val="000000"/>
          <w:sz w:val="24"/>
          <w:szCs w:val="24"/>
        </w:rPr>
        <w:t>Informática y    derecho. Apuntes de doctrina informática</w:t>
      </w:r>
      <w:r w:rsidRPr="00BF2B5C">
        <w:rPr>
          <w:rFonts w:ascii="Arial" w:hAnsi="Arial" w:cs="Arial"/>
          <w:color w:val="000000"/>
          <w:sz w:val="24"/>
          <w:szCs w:val="24"/>
        </w:rPr>
        <w:t>, Vol. I, Buenos Aires, Depalma, 1991.</w:t>
      </w:r>
    </w:p>
    <w:p w:rsidR="00A24297" w:rsidRPr="00BF2B5C" w:rsidRDefault="00A24297" w:rsidP="00A24297">
      <w:pPr>
        <w:pStyle w:val="Textonotapie"/>
        <w:ind w:left="709" w:hanging="709"/>
        <w:jc w:val="both"/>
        <w:rPr>
          <w:rFonts w:ascii="Arial" w:hAnsi="Arial" w:cs="Arial"/>
          <w:smallCaps/>
          <w:color w:val="000000"/>
          <w:sz w:val="24"/>
          <w:szCs w:val="24"/>
          <w:lang w:val="pt-BR"/>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lang w:val="pt-BR"/>
        </w:rPr>
        <w:t xml:space="preserve">Gutiérrez Gómez, Maria Clara: </w:t>
      </w:r>
      <w:r w:rsidRPr="00BF2B5C">
        <w:rPr>
          <w:rFonts w:ascii="Arial" w:hAnsi="Arial" w:cs="Arial"/>
          <w:color w:val="000000"/>
          <w:sz w:val="24"/>
          <w:szCs w:val="24"/>
        </w:rPr>
        <w:t xml:space="preserve">“Consideraciones sobre el tratamiento jurídico del comercio electrónico”, en </w:t>
      </w:r>
      <w:r w:rsidRPr="00BF2B5C">
        <w:rPr>
          <w:rFonts w:ascii="Arial" w:hAnsi="Arial" w:cs="Arial"/>
          <w:i/>
          <w:color w:val="000000"/>
          <w:sz w:val="24"/>
          <w:szCs w:val="24"/>
        </w:rPr>
        <w:t>Internet, comercio electrónico y telecomunicaciones</w:t>
      </w:r>
      <w:r w:rsidRPr="00BF2B5C">
        <w:rPr>
          <w:rFonts w:ascii="Arial" w:hAnsi="Arial" w:cs="Arial"/>
          <w:color w:val="000000"/>
          <w:sz w:val="24"/>
          <w:szCs w:val="24"/>
        </w:rPr>
        <w:t>, Bogotá, Editorial Legis, 2002.</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Herrera Bravo, Adolfo</w:t>
      </w:r>
      <w:r w:rsidRPr="00BF2B5C">
        <w:rPr>
          <w:rFonts w:ascii="Arial" w:hAnsi="Arial" w:cs="Arial"/>
          <w:color w:val="000000"/>
          <w:sz w:val="24"/>
          <w:szCs w:val="24"/>
        </w:rPr>
        <w:t xml:space="preserve">: </w:t>
      </w:r>
      <w:r w:rsidRPr="00BF2B5C">
        <w:rPr>
          <w:rFonts w:ascii="Arial" w:hAnsi="Arial" w:cs="Arial"/>
          <w:i/>
          <w:color w:val="000000"/>
          <w:sz w:val="24"/>
          <w:szCs w:val="24"/>
        </w:rPr>
        <w:t>El documento electrónico</w:t>
      </w:r>
      <w:r w:rsidRPr="00BF2B5C">
        <w:rPr>
          <w:rFonts w:ascii="Arial" w:hAnsi="Arial" w:cs="Arial"/>
          <w:color w:val="000000"/>
          <w:sz w:val="24"/>
          <w:szCs w:val="24"/>
        </w:rPr>
        <w:t>. Algunas vías de aplicación en el derecho probatorio chileno, Santiago de Chile, La ley Ltda., 1999.</w:t>
      </w:r>
    </w:p>
    <w:p w:rsidR="00A24297" w:rsidRPr="00BF2B5C" w:rsidRDefault="00A24297" w:rsidP="00A24297">
      <w:pPr>
        <w:pStyle w:val="Textonotapie"/>
        <w:tabs>
          <w:tab w:val="left" w:pos="1080"/>
        </w:tabs>
        <w:ind w:left="709" w:hanging="709"/>
        <w:jc w:val="both"/>
        <w:rPr>
          <w:rFonts w:ascii="Arial" w:hAnsi="Arial" w:cs="Arial"/>
          <w:smallCaps/>
          <w:color w:val="000000"/>
          <w:sz w:val="24"/>
          <w:szCs w:val="24"/>
        </w:rPr>
      </w:pPr>
    </w:p>
    <w:p w:rsidR="00A24297" w:rsidRPr="00BF2B5C" w:rsidRDefault="00A24297" w:rsidP="00A24297">
      <w:pPr>
        <w:pStyle w:val="Textonotapie"/>
        <w:tabs>
          <w:tab w:val="left" w:pos="1080"/>
        </w:tabs>
        <w:ind w:left="709" w:hanging="709"/>
        <w:jc w:val="both"/>
        <w:rPr>
          <w:rFonts w:ascii="Arial" w:hAnsi="Arial" w:cs="Arial"/>
          <w:color w:val="000000"/>
          <w:sz w:val="24"/>
          <w:szCs w:val="24"/>
        </w:rPr>
      </w:pPr>
      <w:r w:rsidRPr="00BF2B5C">
        <w:rPr>
          <w:rFonts w:ascii="Arial" w:hAnsi="Arial" w:cs="Arial"/>
          <w:smallCaps/>
          <w:color w:val="000000"/>
          <w:sz w:val="24"/>
          <w:szCs w:val="24"/>
        </w:rPr>
        <w:t>Illescas Ortiz, Rafael</w:t>
      </w:r>
      <w:r w:rsidRPr="00BF2B5C">
        <w:rPr>
          <w:rFonts w:ascii="Arial" w:hAnsi="Arial" w:cs="Arial"/>
          <w:color w:val="000000"/>
          <w:sz w:val="24"/>
          <w:szCs w:val="24"/>
        </w:rPr>
        <w:t xml:space="preserve">: </w:t>
      </w:r>
      <w:r w:rsidRPr="00BF2B5C">
        <w:rPr>
          <w:rFonts w:ascii="Arial" w:hAnsi="Arial" w:cs="Arial"/>
          <w:i/>
          <w:color w:val="000000"/>
          <w:sz w:val="24"/>
          <w:szCs w:val="24"/>
        </w:rPr>
        <w:t xml:space="preserve">Derecho de la contratación electrónica, </w:t>
      </w:r>
      <w:r w:rsidRPr="00BF2B5C">
        <w:rPr>
          <w:rFonts w:ascii="Arial" w:hAnsi="Arial" w:cs="Arial"/>
          <w:color w:val="000000"/>
          <w:sz w:val="24"/>
          <w:szCs w:val="24"/>
        </w:rPr>
        <w:t>Madrid, Civitas, 2001.</w:t>
      </w:r>
    </w:p>
    <w:p w:rsidR="00A24297" w:rsidRPr="00BF2B5C" w:rsidRDefault="00A24297" w:rsidP="00A24297">
      <w:pPr>
        <w:spacing w:after="0" w:line="240" w:lineRule="auto"/>
        <w:ind w:left="709" w:hanging="709"/>
        <w:rPr>
          <w:rFonts w:ascii="Arial" w:hAnsi="Arial" w:cs="Arial"/>
          <w:color w:val="000000"/>
          <w:sz w:val="24"/>
          <w:szCs w:val="24"/>
          <w:lang w:val="es-ES"/>
        </w:rPr>
      </w:pPr>
      <w:r w:rsidRPr="00BF2B5C">
        <w:rPr>
          <w:rFonts w:ascii="Arial" w:hAnsi="Arial" w:cs="Arial"/>
          <w:smallCaps/>
          <w:color w:val="000000"/>
          <w:sz w:val="24"/>
          <w:szCs w:val="24"/>
          <w:lang w:val="es-ES"/>
        </w:rPr>
        <w:t>Iriarte Ahon, Erick</w:t>
      </w:r>
      <w:r w:rsidRPr="00BF2B5C">
        <w:rPr>
          <w:rFonts w:ascii="Arial" w:hAnsi="Arial" w:cs="Arial"/>
          <w:color w:val="000000"/>
          <w:sz w:val="24"/>
          <w:szCs w:val="24"/>
          <w:lang w:val="es-ES"/>
        </w:rPr>
        <w:t xml:space="preserve">: “Firma digital y certificado digital, el proyecto peruano”, en </w:t>
      </w:r>
      <w:r w:rsidRPr="00BF2B5C">
        <w:rPr>
          <w:rFonts w:ascii="Arial" w:hAnsi="Arial" w:cs="Arial"/>
          <w:i/>
          <w:color w:val="000000"/>
          <w:sz w:val="24"/>
          <w:szCs w:val="24"/>
          <w:lang w:val="es-ES"/>
        </w:rPr>
        <w:t>Revista Electrónica de Derecho Informático</w:t>
      </w:r>
      <w:r w:rsidRPr="00BF2B5C">
        <w:rPr>
          <w:rFonts w:ascii="Arial" w:hAnsi="Arial" w:cs="Arial"/>
          <w:color w:val="000000"/>
          <w:sz w:val="24"/>
          <w:szCs w:val="24"/>
          <w:lang w:val="es-ES"/>
        </w:rPr>
        <w:t>, septiembre de 1999 (http://publicaciones.derecho.org/redi/No._14)_.</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Madrid Parra, Agustín; Guerrero Lebron, Mª Jesús</w:t>
      </w:r>
      <w:r w:rsidRPr="00BF2B5C">
        <w:rPr>
          <w:rFonts w:ascii="Arial" w:hAnsi="Arial" w:cs="Arial"/>
          <w:color w:val="000000"/>
          <w:sz w:val="24"/>
          <w:szCs w:val="24"/>
        </w:rPr>
        <w:t xml:space="preserve">: </w:t>
      </w:r>
      <w:r w:rsidRPr="00BF2B5C">
        <w:rPr>
          <w:rFonts w:ascii="Arial" w:hAnsi="Arial" w:cs="Arial"/>
          <w:i/>
          <w:color w:val="000000"/>
          <w:sz w:val="24"/>
          <w:szCs w:val="24"/>
        </w:rPr>
        <w:t>Derecho patrimonial y tecnología</w:t>
      </w:r>
      <w:r w:rsidRPr="00BF2B5C">
        <w:rPr>
          <w:rFonts w:ascii="Arial" w:hAnsi="Arial" w:cs="Arial"/>
          <w:color w:val="000000"/>
          <w:sz w:val="24"/>
          <w:szCs w:val="24"/>
        </w:rPr>
        <w:t>, Madrid, Marcial Pons, 2007.</w:t>
      </w:r>
    </w:p>
    <w:p w:rsidR="00A24297" w:rsidRPr="00BF2B5C" w:rsidRDefault="00A24297" w:rsidP="00A24297">
      <w:pPr>
        <w:autoSpaceDE w:val="0"/>
        <w:autoSpaceDN w:val="0"/>
        <w:adjustRightInd w:val="0"/>
        <w:spacing w:after="0" w:line="240" w:lineRule="auto"/>
        <w:ind w:left="709" w:hanging="709"/>
        <w:jc w:val="both"/>
        <w:rPr>
          <w:rFonts w:ascii="Arial" w:hAnsi="Arial" w:cs="Arial"/>
          <w:smallCaps/>
          <w:color w:val="000000"/>
          <w:sz w:val="24"/>
          <w:szCs w:val="24"/>
          <w:lang w:val="es-ES"/>
        </w:rPr>
      </w:pPr>
    </w:p>
    <w:p w:rsidR="00A24297" w:rsidRPr="00BF2B5C" w:rsidRDefault="00A24297" w:rsidP="00A24297">
      <w:pPr>
        <w:autoSpaceDE w:val="0"/>
        <w:autoSpaceDN w:val="0"/>
        <w:adjustRightInd w:val="0"/>
        <w:spacing w:after="0" w:line="240" w:lineRule="auto"/>
        <w:ind w:left="709" w:hanging="709"/>
        <w:jc w:val="both"/>
        <w:rPr>
          <w:rFonts w:ascii="Arial" w:hAnsi="Arial" w:cs="Arial"/>
          <w:color w:val="000000"/>
          <w:sz w:val="24"/>
          <w:szCs w:val="24"/>
          <w:lang w:val="es-ES"/>
        </w:rPr>
      </w:pPr>
      <w:r w:rsidRPr="00BF2B5C">
        <w:rPr>
          <w:rFonts w:ascii="Arial" w:hAnsi="Arial" w:cs="Arial"/>
          <w:smallCaps/>
          <w:color w:val="000000"/>
          <w:sz w:val="24"/>
          <w:szCs w:val="24"/>
          <w:lang w:val="es-ES"/>
        </w:rPr>
        <w:t>Martínez Nadal, Apolonia</w:t>
      </w:r>
      <w:r w:rsidRPr="00BF2B5C">
        <w:rPr>
          <w:rFonts w:ascii="Arial" w:hAnsi="Arial" w:cs="Arial"/>
          <w:color w:val="000000"/>
          <w:sz w:val="24"/>
          <w:szCs w:val="24"/>
          <w:lang w:val="es-ES"/>
        </w:rPr>
        <w:t xml:space="preserve">: </w:t>
      </w:r>
      <w:r w:rsidRPr="00BF2B5C">
        <w:rPr>
          <w:rFonts w:ascii="Arial" w:hAnsi="Arial" w:cs="Arial"/>
          <w:i/>
          <w:iCs/>
          <w:color w:val="000000"/>
          <w:sz w:val="24"/>
          <w:szCs w:val="24"/>
          <w:lang w:val="es-ES"/>
        </w:rPr>
        <w:t>Comercio electrónico, firma digital y autoridades de certificación</w:t>
      </w:r>
      <w:r w:rsidRPr="00BF2B5C">
        <w:rPr>
          <w:rFonts w:ascii="Arial" w:hAnsi="Arial" w:cs="Arial"/>
          <w:color w:val="000000"/>
          <w:sz w:val="24"/>
          <w:szCs w:val="24"/>
          <w:lang w:val="es-ES"/>
        </w:rPr>
        <w:t>, 2ª ed., Madrid, Civitas, 2000.</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Moreno Navarrete, Miguel Ángel</w:t>
      </w:r>
      <w:r w:rsidRPr="00BF2B5C">
        <w:rPr>
          <w:rFonts w:ascii="Arial" w:hAnsi="Arial" w:cs="Arial"/>
          <w:color w:val="000000"/>
          <w:sz w:val="24"/>
          <w:szCs w:val="24"/>
        </w:rPr>
        <w:t xml:space="preserve">: </w:t>
      </w:r>
      <w:r w:rsidRPr="00BF2B5C">
        <w:rPr>
          <w:rFonts w:ascii="Arial" w:hAnsi="Arial" w:cs="Arial"/>
          <w:i/>
          <w:color w:val="000000"/>
          <w:sz w:val="24"/>
          <w:szCs w:val="24"/>
        </w:rPr>
        <w:t>Contratos electrónicos</w:t>
      </w:r>
      <w:r w:rsidRPr="00BF2B5C">
        <w:rPr>
          <w:rFonts w:ascii="Arial" w:hAnsi="Arial" w:cs="Arial"/>
          <w:color w:val="000000"/>
          <w:sz w:val="24"/>
          <w:szCs w:val="24"/>
        </w:rPr>
        <w:t>, Madrid, Marcial Pons, 1999.</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Peña Valenzuela, Daniel</w:t>
      </w:r>
      <w:r w:rsidRPr="00BF2B5C">
        <w:rPr>
          <w:rFonts w:ascii="Arial" w:hAnsi="Arial" w:cs="Arial"/>
          <w:color w:val="000000"/>
          <w:sz w:val="24"/>
          <w:szCs w:val="24"/>
        </w:rPr>
        <w:t xml:space="preserve">: </w:t>
      </w:r>
      <w:r w:rsidRPr="00BF2B5C">
        <w:rPr>
          <w:rFonts w:ascii="Arial" w:hAnsi="Arial" w:cs="Arial"/>
          <w:i/>
          <w:color w:val="000000"/>
          <w:sz w:val="24"/>
          <w:szCs w:val="24"/>
        </w:rPr>
        <w:t xml:space="preserve">Aspectos legales de Internet y del comercio electrónico, </w:t>
      </w:r>
      <w:r w:rsidRPr="00BF2B5C">
        <w:rPr>
          <w:rFonts w:ascii="Arial" w:hAnsi="Arial" w:cs="Arial"/>
          <w:color w:val="000000"/>
          <w:sz w:val="24"/>
          <w:szCs w:val="24"/>
        </w:rPr>
        <w:t>Bogotá, Dupré Editores, 2001.</w:t>
      </w:r>
    </w:p>
    <w:p w:rsidR="00A24297" w:rsidRPr="00BF2B5C" w:rsidRDefault="00A24297" w:rsidP="00A24297">
      <w:pPr>
        <w:pStyle w:val="Textonotapie"/>
        <w:ind w:left="709" w:hanging="709"/>
        <w:jc w:val="both"/>
        <w:rPr>
          <w:rFonts w:ascii="Arial" w:hAnsi="Arial" w:cs="Arial"/>
          <w:iCs/>
          <w:smallCaps/>
          <w:color w:val="000000"/>
          <w:sz w:val="24"/>
          <w:szCs w:val="24"/>
          <w:lang w:val="es-MX"/>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iCs/>
          <w:smallCaps/>
          <w:color w:val="000000"/>
          <w:sz w:val="24"/>
          <w:szCs w:val="24"/>
          <w:lang w:val="es-MX"/>
        </w:rPr>
        <w:t>Remolina Angarita Nelson</w:t>
      </w:r>
      <w:r w:rsidRPr="00BF2B5C">
        <w:rPr>
          <w:rFonts w:ascii="Arial" w:hAnsi="Arial" w:cs="Arial"/>
          <w:iCs/>
          <w:color w:val="000000"/>
          <w:sz w:val="24"/>
          <w:szCs w:val="24"/>
          <w:lang w:val="es-MX"/>
        </w:rPr>
        <w:t xml:space="preserve">: </w:t>
      </w:r>
      <w:r w:rsidRPr="00BF2B5C">
        <w:rPr>
          <w:rFonts w:ascii="Arial" w:hAnsi="Arial" w:cs="Arial"/>
          <w:color w:val="000000"/>
          <w:sz w:val="24"/>
          <w:szCs w:val="24"/>
        </w:rPr>
        <w:t>“Desmaterialización, documento electrónico y centrales de registro</w:t>
      </w:r>
      <w:r w:rsidRPr="00BF2B5C">
        <w:rPr>
          <w:rFonts w:ascii="Arial" w:hAnsi="Arial" w:cs="Arial"/>
          <w:i/>
          <w:color w:val="000000"/>
          <w:sz w:val="24"/>
          <w:szCs w:val="24"/>
        </w:rPr>
        <w:t>”,</w:t>
      </w:r>
      <w:r w:rsidRPr="00BF2B5C">
        <w:rPr>
          <w:rFonts w:ascii="Arial" w:hAnsi="Arial" w:cs="Arial"/>
          <w:color w:val="000000"/>
          <w:sz w:val="24"/>
          <w:szCs w:val="24"/>
        </w:rPr>
        <w:t xml:space="preserve"> en </w:t>
      </w:r>
      <w:r w:rsidRPr="00BF2B5C">
        <w:rPr>
          <w:rFonts w:ascii="Arial" w:hAnsi="Arial" w:cs="Arial"/>
          <w:i/>
          <w:iCs/>
          <w:color w:val="000000"/>
          <w:sz w:val="24"/>
          <w:szCs w:val="24"/>
        </w:rPr>
        <w:t>Internet, comercio electrónico y telecomunicaciones</w:t>
      </w:r>
      <w:r w:rsidRPr="00BF2B5C">
        <w:rPr>
          <w:rFonts w:ascii="Arial" w:hAnsi="Arial" w:cs="Arial"/>
          <w:color w:val="000000"/>
          <w:sz w:val="24"/>
          <w:szCs w:val="24"/>
        </w:rPr>
        <w:t>,  Santa Fe de Bogota, Legis, 2002.</w:t>
      </w:r>
    </w:p>
    <w:p w:rsidR="00A24297" w:rsidRPr="00BF2B5C" w:rsidRDefault="00A24297" w:rsidP="00A24297">
      <w:pPr>
        <w:pStyle w:val="Textonotapie"/>
        <w:ind w:left="709" w:hanging="709"/>
        <w:jc w:val="both"/>
        <w:rPr>
          <w:rFonts w:ascii="Arial" w:hAnsi="Arial" w:cs="Arial"/>
          <w:smallCaps/>
          <w:color w:val="000000"/>
          <w:sz w:val="24"/>
          <w:szCs w:val="24"/>
          <w:lang w:val="es-MX"/>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lang w:val="es-MX"/>
        </w:rPr>
        <w:t>Rengifo García, Ernesto:</w:t>
      </w:r>
      <w:r w:rsidRPr="00BF2B5C">
        <w:rPr>
          <w:rFonts w:ascii="Arial" w:hAnsi="Arial" w:cs="Arial"/>
          <w:color w:val="000000"/>
          <w:sz w:val="24"/>
          <w:szCs w:val="24"/>
          <w:lang w:val="es-MX"/>
        </w:rPr>
        <w:t xml:space="preserve"> “Comercio electrónico, documento electrónico y seguridad</w:t>
      </w:r>
      <w:r w:rsidRPr="00BF2B5C">
        <w:rPr>
          <w:rFonts w:ascii="Arial" w:hAnsi="Arial" w:cs="Arial"/>
          <w:i/>
          <w:color w:val="000000"/>
          <w:sz w:val="24"/>
          <w:szCs w:val="24"/>
          <w:lang w:val="es-MX"/>
        </w:rPr>
        <w:t xml:space="preserve">  </w:t>
      </w:r>
      <w:r w:rsidRPr="00BF2B5C">
        <w:rPr>
          <w:rFonts w:ascii="Arial" w:hAnsi="Arial" w:cs="Arial"/>
          <w:color w:val="000000"/>
          <w:sz w:val="24"/>
          <w:szCs w:val="24"/>
          <w:lang w:val="es-MX"/>
        </w:rPr>
        <w:t xml:space="preserve">jurídica”, en </w:t>
      </w:r>
      <w:r w:rsidRPr="00BF2B5C">
        <w:rPr>
          <w:rFonts w:ascii="Arial" w:hAnsi="Arial" w:cs="Arial"/>
          <w:i/>
          <w:color w:val="000000"/>
          <w:sz w:val="24"/>
          <w:szCs w:val="24"/>
        </w:rPr>
        <w:t>Seminario sobre Derecho del Comercio Electrónico</w:t>
      </w:r>
      <w:r w:rsidRPr="00BF2B5C">
        <w:rPr>
          <w:rFonts w:ascii="Arial" w:hAnsi="Arial" w:cs="Arial"/>
          <w:color w:val="000000"/>
          <w:sz w:val="24"/>
          <w:szCs w:val="24"/>
        </w:rPr>
        <w:t>, Santafé de Bogotá, Universidad Externado de Colombia, ponencia presentada el 23 de septiembre de 1999.</w:t>
      </w:r>
    </w:p>
    <w:p w:rsidR="00A24297" w:rsidRPr="00BF2B5C" w:rsidRDefault="00A24297" w:rsidP="00A24297">
      <w:pPr>
        <w:pStyle w:val="Textonotapie"/>
        <w:ind w:left="709" w:hanging="709"/>
        <w:jc w:val="both"/>
        <w:rPr>
          <w:rFonts w:ascii="Arial" w:hAnsi="Arial" w:cs="Arial"/>
          <w:smallCaps/>
          <w:color w:val="000000"/>
          <w:sz w:val="24"/>
          <w:szCs w:val="24"/>
          <w:lang w:val="pt-BR"/>
        </w:rPr>
      </w:pPr>
    </w:p>
    <w:p w:rsidR="00A24297" w:rsidRPr="00BF2B5C" w:rsidRDefault="00A24297" w:rsidP="00A24297">
      <w:pPr>
        <w:pStyle w:val="Textoindependiente2"/>
        <w:spacing w:after="0" w:line="240" w:lineRule="auto"/>
        <w:ind w:left="709" w:hanging="709"/>
        <w:rPr>
          <w:rFonts w:ascii="Arial" w:hAnsi="Arial" w:cs="Arial"/>
          <w:smallCaps/>
          <w:color w:val="000000"/>
          <w:sz w:val="24"/>
          <w:szCs w:val="24"/>
          <w:lang w:val="es-MX"/>
        </w:rPr>
      </w:pPr>
    </w:p>
    <w:p w:rsidR="00A24297" w:rsidRPr="00BF2B5C" w:rsidRDefault="00A24297" w:rsidP="00A24297">
      <w:pPr>
        <w:pStyle w:val="Textoindependiente2"/>
        <w:spacing w:after="0" w:line="240" w:lineRule="auto"/>
        <w:ind w:left="709" w:hanging="709"/>
        <w:rPr>
          <w:rFonts w:ascii="Arial" w:hAnsi="Arial" w:cs="Arial"/>
          <w:color w:val="000000"/>
          <w:sz w:val="24"/>
          <w:szCs w:val="24"/>
        </w:rPr>
      </w:pPr>
      <w:r w:rsidRPr="00BF2B5C">
        <w:rPr>
          <w:rFonts w:ascii="Arial" w:hAnsi="Arial" w:cs="Arial"/>
          <w:smallCaps/>
          <w:color w:val="000000"/>
          <w:sz w:val="24"/>
          <w:szCs w:val="24"/>
          <w:lang w:val="es-MX"/>
        </w:rPr>
        <w:t xml:space="preserve">Rico Carrillo, </w:t>
      </w:r>
      <w:r w:rsidRPr="00BF2B5C">
        <w:rPr>
          <w:rFonts w:ascii="Arial" w:hAnsi="Arial" w:cs="Arial"/>
          <w:smallCaps/>
          <w:color w:val="000000"/>
          <w:sz w:val="24"/>
          <w:szCs w:val="24"/>
        </w:rPr>
        <w:t>Mariliana</w:t>
      </w:r>
      <w:r w:rsidRPr="00BF2B5C">
        <w:rPr>
          <w:rFonts w:ascii="Arial" w:hAnsi="Arial" w:cs="Arial"/>
          <w:color w:val="000000"/>
          <w:sz w:val="24"/>
          <w:szCs w:val="24"/>
        </w:rPr>
        <w:t xml:space="preserve">: </w:t>
      </w:r>
      <w:r w:rsidRPr="00BF2B5C">
        <w:rPr>
          <w:rFonts w:ascii="Arial" w:hAnsi="Arial" w:cs="Arial"/>
          <w:i/>
          <w:color w:val="000000"/>
          <w:sz w:val="24"/>
          <w:szCs w:val="24"/>
        </w:rPr>
        <w:t>Derecho de las tecnologías</w:t>
      </w:r>
      <w:r w:rsidRPr="00BF2B5C">
        <w:rPr>
          <w:rFonts w:ascii="Arial" w:hAnsi="Arial" w:cs="Arial"/>
          <w:color w:val="000000"/>
          <w:sz w:val="24"/>
          <w:szCs w:val="24"/>
        </w:rPr>
        <w:t>,  Buenos Aires, Ediciones la Rocca, 2007.</w:t>
      </w:r>
    </w:p>
    <w:p w:rsidR="00A24297" w:rsidRPr="00BF2B5C" w:rsidRDefault="00A24297" w:rsidP="00A24297">
      <w:pPr>
        <w:pStyle w:val="Textonotapie"/>
        <w:ind w:left="709" w:hanging="709"/>
        <w:jc w:val="both"/>
        <w:rPr>
          <w:rFonts w:ascii="Arial" w:hAnsi="Arial" w:cs="Arial"/>
          <w:smallCaps/>
          <w:color w:val="000000"/>
          <w:sz w:val="24"/>
          <w:szCs w:val="24"/>
        </w:rPr>
      </w:pPr>
    </w:p>
    <w:p w:rsidR="00A24297" w:rsidRPr="00BF2B5C" w:rsidRDefault="00A24297" w:rsidP="00A24297">
      <w:pPr>
        <w:pStyle w:val="Textonotapie"/>
        <w:ind w:left="709" w:hanging="709"/>
        <w:jc w:val="both"/>
        <w:rPr>
          <w:rFonts w:ascii="Arial" w:hAnsi="Arial" w:cs="Arial"/>
          <w:color w:val="000000"/>
          <w:sz w:val="24"/>
          <w:szCs w:val="24"/>
        </w:rPr>
      </w:pPr>
      <w:r w:rsidRPr="00BF2B5C">
        <w:rPr>
          <w:rFonts w:ascii="Arial" w:hAnsi="Arial" w:cs="Arial"/>
          <w:smallCaps/>
          <w:color w:val="000000"/>
          <w:sz w:val="24"/>
          <w:szCs w:val="24"/>
        </w:rPr>
        <w:t>Rincón Cárdenas, Eric:</w:t>
      </w:r>
      <w:r w:rsidRPr="00BF2B5C">
        <w:rPr>
          <w:rFonts w:ascii="Arial" w:hAnsi="Arial" w:cs="Arial"/>
          <w:color w:val="000000"/>
          <w:sz w:val="24"/>
          <w:szCs w:val="24"/>
        </w:rPr>
        <w:t xml:space="preserve"> “Últimos retos para el derecho privado: las nuevas tecnologías de la información”, en </w:t>
      </w:r>
      <w:r w:rsidRPr="00BF2B5C">
        <w:rPr>
          <w:rFonts w:ascii="Arial" w:hAnsi="Arial" w:cs="Arial"/>
          <w:i/>
          <w:color w:val="000000"/>
          <w:sz w:val="24"/>
          <w:szCs w:val="24"/>
        </w:rPr>
        <w:t>Revista Estudios Socio-Jurídicos</w:t>
      </w:r>
      <w:r w:rsidRPr="00BF2B5C">
        <w:rPr>
          <w:rFonts w:ascii="Arial" w:hAnsi="Arial" w:cs="Arial"/>
          <w:color w:val="000000"/>
          <w:sz w:val="24"/>
          <w:szCs w:val="24"/>
        </w:rPr>
        <w:t>, núm. 2, Bogotá, Universidad del Rosario, 2004.</w:t>
      </w:r>
    </w:p>
    <w:p w:rsidR="00A24297" w:rsidRPr="00BF2B5C" w:rsidRDefault="00A24297" w:rsidP="00A24297">
      <w:pPr>
        <w:pStyle w:val="Textoindependiente2"/>
        <w:spacing w:after="0" w:line="240" w:lineRule="auto"/>
        <w:ind w:left="709" w:hanging="709"/>
        <w:rPr>
          <w:rFonts w:ascii="Arial" w:hAnsi="Arial" w:cs="Arial"/>
          <w:smallCaps/>
          <w:color w:val="000000"/>
          <w:sz w:val="24"/>
          <w:szCs w:val="24"/>
        </w:rPr>
      </w:pPr>
    </w:p>
    <w:p w:rsidR="00435A9F" w:rsidRDefault="00435A9F" w:rsidP="005410B3">
      <w:pPr>
        <w:jc w:val="both"/>
        <w:rPr>
          <w:rFonts w:ascii="Times New Roman" w:hAnsi="Times New Roman"/>
          <w:sz w:val="24"/>
        </w:rPr>
      </w:pPr>
      <w:bookmarkStart w:id="0" w:name="_GoBack"/>
      <w:bookmarkEnd w:id="0"/>
    </w:p>
    <w:sectPr w:rsidR="00435A9F" w:rsidSect="00EF7515">
      <w:headerReference w:type="default" r:id="rId8"/>
      <w:footerReference w:type="default" r:id="rId9"/>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3607" w:rsidRDefault="00673607" w:rsidP="004C44E2">
      <w:pPr>
        <w:spacing w:after="0" w:line="240" w:lineRule="auto"/>
      </w:pPr>
      <w:r>
        <w:separator/>
      </w:r>
    </w:p>
  </w:endnote>
  <w:endnote w:type="continuationSeparator" w:id="0">
    <w:p w:rsidR="00673607" w:rsidRDefault="00673607"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7515" w:rsidRDefault="00EF7515">
    <w:pPr>
      <w:pStyle w:val="Piedepgina"/>
    </w:pPr>
    <w:r>
      <w:rPr>
        <w:noProof/>
        <w:lang w:val="es-ES" w:eastAsia="es-ES"/>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3607" w:rsidRDefault="00673607" w:rsidP="004C44E2">
      <w:pPr>
        <w:spacing w:after="0" w:line="240" w:lineRule="auto"/>
      </w:pPr>
      <w:r>
        <w:separator/>
      </w:r>
    </w:p>
  </w:footnote>
  <w:footnote w:type="continuationSeparator" w:id="0">
    <w:p w:rsidR="00673607" w:rsidRDefault="00673607" w:rsidP="004C44E2">
      <w:pPr>
        <w:spacing w:after="0" w:line="240" w:lineRule="auto"/>
      </w:pPr>
      <w:r>
        <w:continuationSeparator/>
      </w:r>
    </w:p>
  </w:footnote>
  <w:footnote w:id="1">
    <w:p w:rsidR="009C15C8" w:rsidRPr="00350CE8" w:rsidRDefault="009C15C8" w:rsidP="009C15C8">
      <w:pPr>
        <w:pStyle w:val="Textonotapie"/>
        <w:jc w:val="both"/>
        <w:rPr>
          <w:rFonts w:ascii="Arial" w:hAnsi="Arial" w:cs="Arial"/>
          <w:i/>
        </w:rPr>
      </w:pPr>
      <w:r w:rsidRPr="00350CE8">
        <w:rPr>
          <w:rStyle w:val="Refdenotaalpie"/>
          <w:rFonts w:ascii="Arial" w:hAnsi="Arial" w:cs="Arial"/>
          <w:i/>
        </w:rPr>
        <w:footnoteRef/>
      </w:r>
      <w:r w:rsidRPr="00350CE8">
        <w:rPr>
          <w:rFonts w:ascii="Arial" w:hAnsi="Arial" w:cs="Arial"/>
          <w:i/>
        </w:rPr>
        <w:t xml:space="preserve"> Ley 1564 de 2012, “Por medio de la cual se expide el Código General del Proceso y se dictan otras disposiciones”, </w:t>
      </w:r>
      <w:r w:rsidRPr="00350CE8">
        <w:rPr>
          <w:rFonts w:ascii="Arial" w:hAnsi="Arial" w:cs="Arial"/>
        </w:rPr>
        <w:t>Art.</w:t>
      </w:r>
      <w:r w:rsidRPr="00350CE8">
        <w:rPr>
          <w:rFonts w:ascii="Arial" w:hAnsi="Arial" w:cs="Arial"/>
          <w:i/>
        </w:rPr>
        <w:t xml:space="preserve"> </w:t>
      </w:r>
      <w:r w:rsidRPr="00350CE8">
        <w:rPr>
          <w:rFonts w:ascii="Arial" w:hAnsi="Arial" w:cs="Arial"/>
        </w:rPr>
        <w:t>103</w:t>
      </w:r>
    </w:p>
  </w:footnote>
  <w:footnote w:id="2">
    <w:p w:rsidR="009C15C8" w:rsidRPr="00350CE8" w:rsidRDefault="009C15C8" w:rsidP="009C15C8">
      <w:pPr>
        <w:pStyle w:val="Textonotapie"/>
        <w:rPr>
          <w:rFonts w:ascii="Arial" w:hAnsi="Arial" w:cs="Arial"/>
        </w:rPr>
      </w:pPr>
      <w:r w:rsidRPr="00350CE8">
        <w:rPr>
          <w:rStyle w:val="Refdenotaalpie"/>
          <w:rFonts w:ascii="Arial" w:hAnsi="Arial" w:cs="Arial"/>
        </w:rPr>
        <w:footnoteRef/>
      </w:r>
      <w:r w:rsidRPr="00350CE8">
        <w:rPr>
          <w:rFonts w:ascii="Arial" w:hAnsi="Arial" w:cs="Arial"/>
        </w:rPr>
        <w:t xml:space="preserve"> Ibídem. Art. 103 Parágrafo.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7515" w:rsidRDefault="00EF7515">
    <w:pPr>
      <w:pStyle w:val="Encabezado"/>
    </w:pPr>
    <w:r>
      <w:rPr>
        <w:noProof/>
        <w:lang w:val="es-ES" w:eastAsia="es-ES"/>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1">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35036996"/>
    <w:multiLevelType w:val="hybridMultilevel"/>
    <w:tmpl w:val="CB2A7EB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A2F4A25"/>
    <w:multiLevelType w:val="hybridMultilevel"/>
    <w:tmpl w:val="036EEBA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18">
    <w:nsid w:val="3FBA1249"/>
    <w:multiLevelType w:val="hybridMultilevel"/>
    <w:tmpl w:val="0252775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4">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6">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7">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1">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4">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5">
    <w:nsid w:val="77BC3D00"/>
    <w:multiLevelType w:val="hybridMultilevel"/>
    <w:tmpl w:val="886AF494"/>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8">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0"/>
  </w:num>
  <w:num w:numId="2">
    <w:abstractNumId w:val="34"/>
  </w:num>
  <w:num w:numId="3">
    <w:abstractNumId w:val="13"/>
  </w:num>
  <w:num w:numId="4">
    <w:abstractNumId w:val="17"/>
  </w:num>
  <w:num w:numId="5">
    <w:abstractNumId w:val="2"/>
  </w:num>
  <w:num w:numId="6">
    <w:abstractNumId w:val="28"/>
  </w:num>
  <w:num w:numId="7">
    <w:abstractNumId w:val="39"/>
  </w:num>
  <w:num w:numId="8">
    <w:abstractNumId w:val="5"/>
  </w:num>
  <w:num w:numId="9">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num>
  <w:num w:numId="11">
    <w:abstractNumId w:val="38"/>
  </w:num>
  <w:num w:numId="12">
    <w:abstractNumId w:val="11"/>
  </w:num>
  <w:num w:numId="13">
    <w:abstractNumId w:val="40"/>
  </w:num>
  <w:num w:numId="14">
    <w:abstractNumId w:val="25"/>
  </w:num>
  <w:num w:numId="15">
    <w:abstractNumId w:val="3"/>
  </w:num>
  <w:num w:numId="16">
    <w:abstractNumId w:val="37"/>
  </w:num>
  <w:num w:numId="17">
    <w:abstractNumId w:val="6"/>
  </w:num>
  <w:num w:numId="18">
    <w:abstractNumId w:val="32"/>
  </w:num>
  <w:num w:numId="19">
    <w:abstractNumId w:val="33"/>
  </w:num>
  <w:num w:numId="20">
    <w:abstractNumId w:val="19"/>
  </w:num>
  <w:num w:numId="21">
    <w:abstractNumId w:val="21"/>
  </w:num>
  <w:num w:numId="22">
    <w:abstractNumId w:val="30"/>
  </w:num>
  <w:num w:numId="23">
    <w:abstractNumId w:val="7"/>
  </w:num>
  <w:num w:numId="24">
    <w:abstractNumId w:val="22"/>
  </w:num>
  <w:num w:numId="25">
    <w:abstractNumId w:val="0"/>
  </w:num>
  <w:num w:numId="26">
    <w:abstractNumId w:val="26"/>
  </w:num>
  <w:num w:numId="27">
    <w:abstractNumId w:val="27"/>
  </w:num>
  <w:num w:numId="28">
    <w:abstractNumId w:val="8"/>
  </w:num>
  <w:num w:numId="29">
    <w:abstractNumId w:val="20"/>
  </w:num>
  <w:num w:numId="30">
    <w:abstractNumId w:val="31"/>
  </w:num>
  <w:num w:numId="31">
    <w:abstractNumId w:val="24"/>
  </w:num>
  <w:num w:numId="32">
    <w:abstractNumId w:val="36"/>
  </w:num>
  <w:num w:numId="33">
    <w:abstractNumId w:val="4"/>
  </w:num>
  <w:num w:numId="34">
    <w:abstractNumId w:val="9"/>
  </w:num>
  <w:num w:numId="35">
    <w:abstractNumId w:val="1"/>
  </w:num>
  <w:num w:numId="36">
    <w:abstractNumId w:val="12"/>
  </w:num>
  <w:num w:numId="37">
    <w:abstractNumId w:val="29"/>
  </w:num>
  <w:num w:numId="38">
    <w:abstractNumId w:val="18"/>
  </w:num>
  <w:num w:numId="39">
    <w:abstractNumId w:val="15"/>
  </w:num>
  <w:num w:numId="40">
    <w:abstractNumId w:val="35"/>
  </w:num>
  <w:num w:numId="4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pt-BR" w:vendorID="64" w:dllVersion="131078" w:nlCheck="1" w:checkStyle="0"/>
  <w:activeWritingStyle w:appName="MSWord" w:lang="es-MX" w:vendorID="64" w:dllVersion="131078" w:nlCheck="1" w:checkStyle="1"/>
  <w:activeWritingStyle w:appName="MSWord" w:lang="es-CO" w:vendorID="64" w:dllVersion="131078" w:nlCheck="1" w:checkStyle="1"/>
  <w:activeWritingStyle w:appName="MSWord" w:lang="es-ES" w:vendorID="64" w:dllVersion="131078" w:nlCheck="1" w:checkStyle="1"/>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06013"/>
    <w:rsid w:val="000223D9"/>
    <w:rsid w:val="00023A10"/>
    <w:rsid w:val="00093A5D"/>
    <w:rsid w:val="000C0037"/>
    <w:rsid w:val="000D5F70"/>
    <w:rsid w:val="00101868"/>
    <w:rsid w:val="00103074"/>
    <w:rsid w:val="00117FF0"/>
    <w:rsid w:val="001221F1"/>
    <w:rsid w:val="001227C6"/>
    <w:rsid w:val="00122FF1"/>
    <w:rsid w:val="001419B8"/>
    <w:rsid w:val="0014692A"/>
    <w:rsid w:val="001549B8"/>
    <w:rsid w:val="001660FC"/>
    <w:rsid w:val="00166A02"/>
    <w:rsid w:val="00166CC8"/>
    <w:rsid w:val="00177EE7"/>
    <w:rsid w:val="001E4C38"/>
    <w:rsid w:val="001E6F3B"/>
    <w:rsid w:val="00202DA7"/>
    <w:rsid w:val="0023041B"/>
    <w:rsid w:val="0025048A"/>
    <w:rsid w:val="00276599"/>
    <w:rsid w:val="00287059"/>
    <w:rsid w:val="002A4AAC"/>
    <w:rsid w:val="002B2107"/>
    <w:rsid w:val="003148DA"/>
    <w:rsid w:val="00315961"/>
    <w:rsid w:val="00335F86"/>
    <w:rsid w:val="003403C4"/>
    <w:rsid w:val="00347288"/>
    <w:rsid w:val="00360A2A"/>
    <w:rsid w:val="00363628"/>
    <w:rsid w:val="0038427E"/>
    <w:rsid w:val="00395EB1"/>
    <w:rsid w:val="003B1433"/>
    <w:rsid w:val="003E5F19"/>
    <w:rsid w:val="00435A9F"/>
    <w:rsid w:val="004660C7"/>
    <w:rsid w:val="004C44E2"/>
    <w:rsid w:val="004C4FD8"/>
    <w:rsid w:val="004D0B54"/>
    <w:rsid w:val="004F2BE6"/>
    <w:rsid w:val="005211F5"/>
    <w:rsid w:val="00532787"/>
    <w:rsid w:val="005410B3"/>
    <w:rsid w:val="00553AAA"/>
    <w:rsid w:val="00555F04"/>
    <w:rsid w:val="005E765A"/>
    <w:rsid w:val="005F220A"/>
    <w:rsid w:val="005F3C1F"/>
    <w:rsid w:val="005F4661"/>
    <w:rsid w:val="00600C5C"/>
    <w:rsid w:val="00602169"/>
    <w:rsid w:val="006249BD"/>
    <w:rsid w:val="00627CBF"/>
    <w:rsid w:val="00665234"/>
    <w:rsid w:val="00667659"/>
    <w:rsid w:val="00673607"/>
    <w:rsid w:val="00676A99"/>
    <w:rsid w:val="006815FC"/>
    <w:rsid w:val="006A16EF"/>
    <w:rsid w:val="00735C74"/>
    <w:rsid w:val="0080054F"/>
    <w:rsid w:val="0082329D"/>
    <w:rsid w:val="008A6DA1"/>
    <w:rsid w:val="009157EC"/>
    <w:rsid w:val="009309A6"/>
    <w:rsid w:val="00942AF4"/>
    <w:rsid w:val="00964593"/>
    <w:rsid w:val="00981948"/>
    <w:rsid w:val="0098647F"/>
    <w:rsid w:val="00995A1B"/>
    <w:rsid w:val="009C15C8"/>
    <w:rsid w:val="009D5342"/>
    <w:rsid w:val="00A048A9"/>
    <w:rsid w:val="00A24297"/>
    <w:rsid w:val="00A66D2B"/>
    <w:rsid w:val="00A816D1"/>
    <w:rsid w:val="00A847BC"/>
    <w:rsid w:val="00A87A2A"/>
    <w:rsid w:val="00AB36AB"/>
    <w:rsid w:val="00AC649D"/>
    <w:rsid w:val="00B24B10"/>
    <w:rsid w:val="00B27FAC"/>
    <w:rsid w:val="00B30A22"/>
    <w:rsid w:val="00B46475"/>
    <w:rsid w:val="00B9232B"/>
    <w:rsid w:val="00BA4AC3"/>
    <w:rsid w:val="00BC2811"/>
    <w:rsid w:val="00C0221C"/>
    <w:rsid w:val="00C65A40"/>
    <w:rsid w:val="00C65DEE"/>
    <w:rsid w:val="00C6717D"/>
    <w:rsid w:val="00CE6F31"/>
    <w:rsid w:val="00D20AB1"/>
    <w:rsid w:val="00D3358A"/>
    <w:rsid w:val="00D3527F"/>
    <w:rsid w:val="00D74BC2"/>
    <w:rsid w:val="00D9267E"/>
    <w:rsid w:val="00D92B6F"/>
    <w:rsid w:val="00D93BC0"/>
    <w:rsid w:val="00DA7283"/>
    <w:rsid w:val="00DC1F6E"/>
    <w:rsid w:val="00DE49AF"/>
    <w:rsid w:val="00DF4F7E"/>
    <w:rsid w:val="00E433D1"/>
    <w:rsid w:val="00E634D0"/>
    <w:rsid w:val="00EB4B80"/>
    <w:rsid w:val="00EC5B46"/>
    <w:rsid w:val="00ED592F"/>
    <w:rsid w:val="00EE0EE0"/>
    <w:rsid w:val="00EF1B94"/>
    <w:rsid w:val="00EF7515"/>
    <w:rsid w:val="00F508B9"/>
    <w:rsid w:val="00F656B1"/>
    <w:rsid w:val="00FD004E"/>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219FD076-D82E-4459-8E9C-394FDD14F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aliases w:val="Footnote Text Char Char Char Char Char,Footnote Text Char Char Char Char,Footnote reference,FA Fu,texto de nota al pie,Footnote Text Char Char Char,Footnote Text Cha,FA Fußnotentext,FA Fuﬂnotentext,Footnote Text Char Char"/>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aliases w:val="Footnote Text Char Char Char Char Char Car,Footnote Text Char Char Char Char Car,Footnote reference Car,FA Fu Car,texto de nota al pie Car,Footnote Text Char Char Char Car,Footnote Text Cha Car,FA Fußnotentext Car,FA Fuﬂnotentext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paragraph" w:customStyle="1" w:styleId="TITULOI">
    <w:name w:val="TITULO I"/>
    <w:basedOn w:val="Normal"/>
    <w:uiPriority w:val="99"/>
    <w:rsid w:val="00B46475"/>
    <w:pPr>
      <w:keepNext/>
      <w:spacing w:after="0" w:line="360" w:lineRule="auto"/>
      <w:ind w:right="284" w:firstLine="567"/>
      <w:jc w:val="center"/>
      <w:outlineLvl w:val="0"/>
    </w:pPr>
    <w:rPr>
      <w:rFonts w:ascii="Book Antiqua" w:eastAsia="Times New Roman" w:hAnsi="Book Antiqua" w:cs="Arial"/>
      <w:b/>
      <w:bCs/>
      <w:iCs/>
      <w:kern w:val="32"/>
      <w:sz w:val="28"/>
      <w:szCs w:val="32"/>
      <w:lang w:val="es-ES_tradnl" w:eastAsia="es-ES"/>
    </w:rPr>
  </w:style>
  <w:style w:type="paragraph" w:styleId="Bibliografa">
    <w:name w:val="Bibliography"/>
    <w:basedOn w:val="Normal"/>
    <w:next w:val="Normal"/>
    <w:uiPriority w:val="37"/>
    <w:unhideWhenUsed/>
    <w:rsid w:val="00435A9F"/>
    <w:pPr>
      <w:spacing w:after="0" w:line="240" w:lineRule="auto"/>
    </w:pPr>
    <w:rPr>
      <w:sz w:val="24"/>
      <w:szCs w:val="24"/>
      <w:lang w:val="es-VE" w:eastAsia="es-ES"/>
    </w:rPr>
  </w:style>
  <w:style w:type="paragraph" w:styleId="Textoindependiente2">
    <w:name w:val="Body Text 2"/>
    <w:basedOn w:val="Normal"/>
    <w:link w:val="Textoindependiente2Car"/>
    <w:uiPriority w:val="99"/>
    <w:rsid w:val="00A24297"/>
    <w:pPr>
      <w:spacing w:after="120" w:line="480" w:lineRule="auto"/>
    </w:pPr>
    <w:rPr>
      <w:rFonts w:ascii="Calibri" w:eastAsia="Times New Roman" w:hAnsi="Calibri" w:cs="Times New Roman"/>
      <w:lang w:val="es-ES_tradnl" w:eastAsia="es-ES_tradnl"/>
    </w:rPr>
  </w:style>
  <w:style w:type="character" w:customStyle="1" w:styleId="Textoindependiente2Car">
    <w:name w:val="Texto independiente 2 Car"/>
    <w:basedOn w:val="Fuentedeprrafopredeter"/>
    <w:link w:val="Textoindependiente2"/>
    <w:uiPriority w:val="99"/>
    <w:rsid w:val="00A24297"/>
    <w:rPr>
      <w:rFonts w:ascii="Calibri" w:eastAsia="Times New Roman" w:hAnsi="Calibri" w:cs="Times New Roman"/>
      <w:lang w:val="es-ES_tradnl" w:eastAsia="es-ES_tradnl"/>
    </w:rPr>
  </w:style>
  <w:style w:type="paragraph" w:styleId="NormalWeb">
    <w:name w:val="Normal (Web)"/>
    <w:basedOn w:val="Normal"/>
    <w:uiPriority w:val="99"/>
    <w:unhideWhenUsed/>
    <w:rsid w:val="009C15C8"/>
    <w:pPr>
      <w:spacing w:before="100" w:beforeAutospacing="1" w:after="100" w:afterAutospacing="1" w:line="240" w:lineRule="auto"/>
    </w:pPr>
    <w:rPr>
      <w:rFonts w:ascii="Times New Roman" w:eastAsia="Times New Roman" w:hAnsi="Times New Roman" w:cs="Times New Roman"/>
      <w:sz w:val="24"/>
      <w:szCs w:val="24"/>
    </w:rPr>
  </w:style>
  <w:style w:type="paragraph" w:styleId="Textoindependiente">
    <w:name w:val="Body Text"/>
    <w:basedOn w:val="Normal"/>
    <w:link w:val="TextoindependienteCar"/>
    <w:uiPriority w:val="99"/>
    <w:semiHidden/>
    <w:unhideWhenUsed/>
    <w:rsid w:val="003B1433"/>
    <w:pPr>
      <w:spacing w:after="120"/>
    </w:pPr>
  </w:style>
  <w:style w:type="character" w:customStyle="1" w:styleId="TextoindependienteCar">
    <w:name w:val="Texto independiente Car"/>
    <w:basedOn w:val="Fuentedeprrafopredeter"/>
    <w:link w:val="Textoindependiente"/>
    <w:uiPriority w:val="99"/>
    <w:semiHidden/>
    <w:rsid w:val="003B1433"/>
  </w:style>
  <w:style w:type="paragraph" w:styleId="Sinespaciado">
    <w:name w:val="No Spacing"/>
    <w:uiPriority w:val="1"/>
    <w:qFormat/>
    <w:rsid w:val="005F4661"/>
    <w:pPr>
      <w:spacing w:after="0" w:line="240" w:lineRule="auto"/>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FDD80A90-4DA4-4AB5-AA34-D6F0EC014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10</Pages>
  <Words>2669</Words>
  <Characters>14680</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Ana Yasmin</cp:lastModifiedBy>
  <cp:revision>8</cp:revision>
  <cp:lastPrinted>2017-01-17T19:14:00Z</cp:lastPrinted>
  <dcterms:created xsi:type="dcterms:W3CDTF">2017-12-07T22:17:00Z</dcterms:created>
  <dcterms:modified xsi:type="dcterms:W3CDTF">2017-12-12T21:13:00Z</dcterms:modified>
</cp:coreProperties>
</file>