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7C44" w:rsidRDefault="00077C44" w:rsidP="00077C44">
      <w:pPr>
        <w:spacing w:line="240" w:lineRule="auto"/>
        <w:rPr>
          <w:rFonts w:ascii="Arial" w:hAnsi="Arial" w:cs="Arial"/>
          <w:sz w:val="20"/>
          <w:szCs w:val="20"/>
        </w:rPr>
      </w:pPr>
      <w:r w:rsidRPr="00A97F30">
        <w:rPr>
          <w:rFonts w:ascii="Arial" w:hAnsi="Arial" w:cs="Arial"/>
          <w:sz w:val="20"/>
          <w:szCs w:val="20"/>
        </w:rPr>
        <w:t>XII Congreso Nacional de Sociología.  Conflicto, paz y región. Universidad de Nariño-Colombia, 21, 22 y 23 de abril de 2016</w:t>
      </w:r>
    </w:p>
    <w:p w:rsidR="00A97F30" w:rsidRPr="00A97F30" w:rsidRDefault="00A97F30" w:rsidP="00077C44">
      <w:pPr>
        <w:spacing w:line="240" w:lineRule="auto"/>
        <w:rPr>
          <w:rFonts w:ascii="Arial" w:hAnsi="Arial" w:cs="Arial"/>
          <w:sz w:val="20"/>
          <w:szCs w:val="20"/>
        </w:rPr>
      </w:pPr>
    </w:p>
    <w:p w:rsidR="009565C5" w:rsidRPr="00464E98" w:rsidRDefault="00077C44" w:rsidP="00077C44">
      <w:pPr>
        <w:spacing w:line="240" w:lineRule="auto"/>
        <w:jc w:val="both"/>
        <w:rPr>
          <w:rFonts w:ascii="Arial" w:hAnsi="Arial" w:cs="Arial"/>
          <w:b/>
          <w:sz w:val="24"/>
          <w:szCs w:val="24"/>
        </w:rPr>
      </w:pPr>
      <w:r w:rsidRPr="00464E98">
        <w:rPr>
          <w:rFonts w:ascii="Arial" w:hAnsi="Arial" w:cs="Arial"/>
          <w:b/>
          <w:sz w:val="24"/>
          <w:szCs w:val="24"/>
        </w:rPr>
        <w:t>El imaginario social del emigrante retornado en la política migratoria colombiana</w:t>
      </w:r>
    </w:p>
    <w:p w:rsidR="00464E98" w:rsidRPr="00464E98" w:rsidRDefault="00464E98" w:rsidP="00464E98">
      <w:pPr>
        <w:spacing w:line="240" w:lineRule="auto"/>
        <w:rPr>
          <w:rFonts w:ascii="Arial" w:hAnsi="Arial" w:cs="Arial"/>
          <w:b/>
          <w:sz w:val="24"/>
          <w:szCs w:val="24"/>
        </w:rPr>
      </w:pPr>
    </w:p>
    <w:p w:rsidR="00464E98" w:rsidRPr="00464E98" w:rsidRDefault="00464E98" w:rsidP="00464E98">
      <w:pPr>
        <w:spacing w:line="240" w:lineRule="auto"/>
        <w:contextualSpacing/>
        <w:rPr>
          <w:rFonts w:ascii="Arial" w:hAnsi="Arial" w:cs="Arial"/>
          <w:sz w:val="24"/>
          <w:szCs w:val="24"/>
        </w:rPr>
      </w:pPr>
      <w:r w:rsidRPr="00464E98">
        <w:rPr>
          <w:rFonts w:ascii="Arial" w:hAnsi="Arial" w:cs="Arial"/>
          <w:sz w:val="24"/>
          <w:szCs w:val="24"/>
        </w:rPr>
        <w:t>Felipe Aliaga Sáez</w:t>
      </w:r>
    </w:p>
    <w:p w:rsidR="00464E98" w:rsidRPr="00464E98" w:rsidRDefault="00464E98" w:rsidP="00464E98">
      <w:pPr>
        <w:spacing w:line="240" w:lineRule="auto"/>
        <w:contextualSpacing/>
        <w:rPr>
          <w:rFonts w:ascii="Arial" w:hAnsi="Arial" w:cs="Arial"/>
          <w:sz w:val="24"/>
          <w:szCs w:val="24"/>
        </w:rPr>
      </w:pPr>
      <w:r w:rsidRPr="00464E98">
        <w:rPr>
          <w:rFonts w:ascii="Arial" w:hAnsi="Arial" w:cs="Arial"/>
          <w:sz w:val="24"/>
          <w:szCs w:val="24"/>
        </w:rPr>
        <w:t>Docente-investigador</w:t>
      </w:r>
    </w:p>
    <w:p w:rsidR="00464E98" w:rsidRPr="00464E98" w:rsidRDefault="0003556E" w:rsidP="00464E98">
      <w:pPr>
        <w:spacing w:line="240" w:lineRule="auto"/>
        <w:contextualSpacing/>
        <w:rPr>
          <w:rFonts w:ascii="Arial" w:hAnsi="Arial" w:cs="Arial"/>
          <w:sz w:val="24"/>
          <w:szCs w:val="24"/>
        </w:rPr>
      </w:pPr>
      <w:hyperlink r:id="rId8" w:history="1">
        <w:r w:rsidR="00464E98" w:rsidRPr="00A42F96">
          <w:rPr>
            <w:rStyle w:val="Hipervnculo"/>
            <w:rFonts w:ascii="Arial" w:hAnsi="Arial" w:cs="Arial"/>
            <w:sz w:val="24"/>
            <w:szCs w:val="24"/>
          </w:rPr>
          <w:t>felipealiaga@usantotomas.edu.co</w:t>
        </w:r>
      </w:hyperlink>
      <w:r w:rsidR="00464E98">
        <w:rPr>
          <w:rFonts w:ascii="Arial" w:hAnsi="Arial" w:cs="Arial"/>
          <w:sz w:val="24"/>
          <w:szCs w:val="24"/>
        </w:rPr>
        <w:t xml:space="preserve"> </w:t>
      </w:r>
    </w:p>
    <w:p w:rsidR="00464E98" w:rsidRPr="00464E98" w:rsidRDefault="00464E98" w:rsidP="00464E98">
      <w:pPr>
        <w:spacing w:line="240" w:lineRule="auto"/>
        <w:contextualSpacing/>
        <w:rPr>
          <w:rFonts w:ascii="Arial" w:hAnsi="Arial" w:cs="Arial"/>
          <w:sz w:val="24"/>
          <w:szCs w:val="24"/>
        </w:rPr>
      </w:pPr>
      <w:r w:rsidRPr="00464E98">
        <w:rPr>
          <w:rFonts w:ascii="Arial" w:hAnsi="Arial" w:cs="Arial"/>
          <w:sz w:val="24"/>
          <w:szCs w:val="24"/>
        </w:rPr>
        <w:t>Universidad Santo Tomás-Colombia. Facultad de Sociología.</w:t>
      </w:r>
    </w:p>
    <w:p w:rsidR="00464E98" w:rsidRPr="00464E98" w:rsidRDefault="00464E98" w:rsidP="00464E98">
      <w:pPr>
        <w:spacing w:line="240" w:lineRule="auto"/>
        <w:contextualSpacing/>
        <w:rPr>
          <w:rFonts w:ascii="Arial" w:hAnsi="Arial" w:cs="Arial"/>
          <w:sz w:val="24"/>
          <w:szCs w:val="24"/>
        </w:rPr>
      </w:pPr>
    </w:p>
    <w:p w:rsidR="00464E98" w:rsidRPr="00464E98" w:rsidRDefault="00464E98" w:rsidP="00464E98">
      <w:pPr>
        <w:spacing w:line="240" w:lineRule="auto"/>
        <w:contextualSpacing/>
        <w:rPr>
          <w:rFonts w:ascii="Arial" w:hAnsi="Arial" w:cs="Arial"/>
          <w:sz w:val="24"/>
          <w:szCs w:val="24"/>
          <w:lang w:val="en-US"/>
        </w:rPr>
      </w:pPr>
      <w:r w:rsidRPr="00464E98">
        <w:rPr>
          <w:rFonts w:ascii="Arial" w:hAnsi="Arial" w:cs="Arial"/>
          <w:sz w:val="24"/>
          <w:szCs w:val="24"/>
          <w:lang w:val="en-US"/>
        </w:rPr>
        <w:t>Cristhian Uribe Mendoza</w:t>
      </w:r>
    </w:p>
    <w:p w:rsidR="00464E98" w:rsidRPr="00464E98" w:rsidRDefault="00464E98" w:rsidP="00464E98">
      <w:pPr>
        <w:spacing w:line="240" w:lineRule="auto"/>
        <w:contextualSpacing/>
        <w:rPr>
          <w:rFonts w:ascii="Arial" w:hAnsi="Arial" w:cs="Arial"/>
          <w:sz w:val="24"/>
          <w:szCs w:val="24"/>
          <w:lang w:val="en-US"/>
        </w:rPr>
      </w:pPr>
      <w:proofErr w:type="spellStart"/>
      <w:r w:rsidRPr="00464E98">
        <w:rPr>
          <w:rFonts w:ascii="Arial" w:hAnsi="Arial" w:cs="Arial"/>
          <w:sz w:val="24"/>
          <w:szCs w:val="24"/>
          <w:lang w:val="en-US"/>
        </w:rPr>
        <w:t>Docente-investigador</w:t>
      </w:r>
      <w:proofErr w:type="spellEnd"/>
    </w:p>
    <w:p w:rsidR="00464E98" w:rsidRPr="00464E98" w:rsidRDefault="0003556E" w:rsidP="00464E98">
      <w:pPr>
        <w:spacing w:line="240" w:lineRule="auto"/>
        <w:contextualSpacing/>
        <w:rPr>
          <w:rFonts w:ascii="Arial" w:hAnsi="Arial" w:cs="Arial"/>
          <w:sz w:val="24"/>
          <w:szCs w:val="24"/>
          <w:lang w:val="en-US"/>
        </w:rPr>
      </w:pPr>
      <w:hyperlink r:id="rId9" w:history="1">
        <w:r w:rsidR="00464E98" w:rsidRPr="00A42F96">
          <w:rPr>
            <w:rStyle w:val="Hipervnculo"/>
            <w:rFonts w:ascii="Arial" w:hAnsi="Arial" w:cs="Arial"/>
            <w:sz w:val="24"/>
            <w:szCs w:val="24"/>
            <w:lang w:val="en-US"/>
          </w:rPr>
          <w:t>cristhianuribe@usantotomas.edu.co</w:t>
        </w:r>
      </w:hyperlink>
      <w:r w:rsidR="00464E98">
        <w:rPr>
          <w:rFonts w:ascii="Arial" w:hAnsi="Arial" w:cs="Arial"/>
          <w:sz w:val="24"/>
          <w:szCs w:val="24"/>
          <w:lang w:val="en-US"/>
        </w:rPr>
        <w:t xml:space="preserve"> </w:t>
      </w:r>
      <w:r w:rsidR="00464E98" w:rsidRPr="00464E98">
        <w:rPr>
          <w:rFonts w:ascii="Arial" w:hAnsi="Arial" w:cs="Arial"/>
          <w:sz w:val="24"/>
          <w:szCs w:val="24"/>
          <w:lang w:val="en-US"/>
        </w:rPr>
        <w:t xml:space="preserve"> </w:t>
      </w:r>
      <w:r w:rsidR="00464E98">
        <w:rPr>
          <w:rFonts w:ascii="Arial" w:hAnsi="Arial" w:cs="Arial"/>
          <w:sz w:val="24"/>
          <w:szCs w:val="24"/>
          <w:lang w:val="en-US"/>
        </w:rPr>
        <w:t xml:space="preserve"> </w:t>
      </w:r>
    </w:p>
    <w:p w:rsidR="00464E98" w:rsidRPr="00464E98" w:rsidRDefault="00464E98" w:rsidP="00464E98">
      <w:pPr>
        <w:spacing w:line="240" w:lineRule="auto"/>
        <w:contextualSpacing/>
        <w:rPr>
          <w:rFonts w:ascii="Arial" w:hAnsi="Arial" w:cs="Arial"/>
          <w:sz w:val="24"/>
          <w:szCs w:val="24"/>
        </w:rPr>
      </w:pPr>
      <w:r w:rsidRPr="00464E98">
        <w:rPr>
          <w:rFonts w:ascii="Arial" w:hAnsi="Arial" w:cs="Arial"/>
          <w:sz w:val="24"/>
          <w:szCs w:val="24"/>
        </w:rPr>
        <w:t>Universidad Santo Tomás-Colombia. Facultad de Sociología.</w:t>
      </w:r>
    </w:p>
    <w:p w:rsidR="00464E98" w:rsidRPr="00464E98" w:rsidRDefault="00464E98" w:rsidP="00464E98">
      <w:pPr>
        <w:spacing w:line="240" w:lineRule="auto"/>
        <w:contextualSpacing/>
        <w:rPr>
          <w:rFonts w:ascii="Arial" w:hAnsi="Arial" w:cs="Arial"/>
          <w:sz w:val="24"/>
          <w:szCs w:val="24"/>
        </w:rPr>
      </w:pPr>
    </w:p>
    <w:p w:rsidR="00464E98" w:rsidRPr="00464E98" w:rsidRDefault="00464E98" w:rsidP="00464E98">
      <w:pPr>
        <w:spacing w:line="240" w:lineRule="auto"/>
        <w:contextualSpacing/>
        <w:rPr>
          <w:rFonts w:ascii="Arial" w:hAnsi="Arial" w:cs="Arial"/>
          <w:sz w:val="24"/>
          <w:szCs w:val="24"/>
        </w:rPr>
      </w:pPr>
      <w:r w:rsidRPr="00464E98">
        <w:rPr>
          <w:rFonts w:ascii="Arial" w:hAnsi="Arial" w:cs="Arial"/>
          <w:sz w:val="24"/>
          <w:szCs w:val="24"/>
        </w:rPr>
        <w:t xml:space="preserve">Ivonne Andrea </w:t>
      </w:r>
      <w:proofErr w:type="spellStart"/>
      <w:r w:rsidRPr="00464E98">
        <w:rPr>
          <w:rFonts w:ascii="Arial" w:hAnsi="Arial" w:cs="Arial"/>
          <w:sz w:val="24"/>
          <w:szCs w:val="24"/>
        </w:rPr>
        <w:t>Robayo</w:t>
      </w:r>
      <w:proofErr w:type="spellEnd"/>
      <w:r w:rsidRPr="00464E98">
        <w:rPr>
          <w:rFonts w:ascii="Arial" w:hAnsi="Arial" w:cs="Arial"/>
          <w:sz w:val="24"/>
          <w:szCs w:val="24"/>
        </w:rPr>
        <w:t xml:space="preserve"> Cante</w:t>
      </w:r>
    </w:p>
    <w:p w:rsidR="00464E98" w:rsidRPr="00464E98" w:rsidRDefault="00464E98" w:rsidP="00464E98">
      <w:pPr>
        <w:spacing w:line="240" w:lineRule="auto"/>
        <w:contextualSpacing/>
        <w:rPr>
          <w:rFonts w:ascii="Arial" w:hAnsi="Arial" w:cs="Arial"/>
          <w:sz w:val="24"/>
          <w:szCs w:val="24"/>
        </w:rPr>
      </w:pPr>
      <w:r w:rsidRPr="00464E98">
        <w:rPr>
          <w:rFonts w:ascii="Arial" w:hAnsi="Arial" w:cs="Arial"/>
          <w:sz w:val="24"/>
          <w:szCs w:val="24"/>
        </w:rPr>
        <w:t>Auxiliar de investigación</w:t>
      </w:r>
    </w:p>
    <w:p w:rsidR="00464E98" w:rsidRPr="00464E98" w:rsidRDefault="0003556E" w:rsidP="00464E98">
      <w:pPr>
        <w:spacing w:line="240" w:lineRule="auto"/>
        <w:contextualSpacing/>
        <w:rPr>
          <w:rFonts w:ascii="Arial" w:hAnsi="Arial" w:cs="Arial"/>
          <w:sz w:val="24"/>
          <w:szCs w:val="24"/>
        </w:rPr>
      </w:pPr>
      <w:hyperlink r:id="rId10" w:history="1">
        <w:r w:rsidR="00464E98" w:rsidRPr="00A42F96">
          <w:rPr>
            <w:rStyle w:val="Hipervnculo"/>
            <w:rFonts w:ascii="Arial" w:hAnsi="Arial" w:cs="Arial"/>
            <w:sz w:val="24"/>
            <w:szCs w:val="24"/>
          </w:rPr>
          <w:t>ivonnerobayoc@usantotomas.edu.co</w:t>
        </w:r>
      </w:hyperlink>
      <w:r w:rsidR="00464E98">
        <w:rPr>
          <w:rFonts w:ascii="Arial" w:hAnsi="Arial" w:cs="Arial"/>
          <w:sz w:val="24"/>
          <w:szCs w:val="24"/>
        </w:rPr>
        <w:t xml:space="preserve"> </w:t>
      </w:r>
      <w:r w:rsidR="00464E98" w:rsidRPr="00464E98">
        <w:rPr>
          <w:rFonts w:ascii="Arial" w:hAnsi="Arial" w:cs="Arial"/>
          <w:sz w:val="24"/>
          <w:szCs w:val="24"/>
        </w:rPr>
        <w:t xml:space="preserve"> </w:t>
      </w:r>
    </w:p>
    <w:p w:rsidR="00077C44" w:rsidRPr="00464E98" w:rsidRDefault="00464E98" w:rsidP="00464E98">
      <w:pPr>
        <w:spacing w:line="240" w:lineRule="auto"/>
        <w:contextualSpacing/>
        <w:rPr>
          <w:rFonts w:ascii="Arial" w:hAnsi="Arial" w:cs="Arial"/>
          <w:sz w:val="24"/>
          <w:szCs w:val="24"/>
        </w:rPr>
      </w:pPr>
      <w:r w:rsidRPr="00464E98">
        <w:rPr>
          <w:rFonts w:ascii="Arial" w:hAnsi="Arial" w:cs="Arial"/>
          <w:sz w:val="24"/>
          <w:szCs w:val="24"/>
        </w:rPr>
        <w:t>Universidad Santo Tomás-Colombia. Facultad de Sociología.</w:t>
      </w:r>
    </w:p>
    <w:p w:rsidR="00464E98" w:rsidRDefault="00464E98" w:rsidP="00464E98">
      <w:pPr>
        <w:spacing w:line="240" w:lineRule="auto"/>
        <w:contextualSpacing/>
        <w:rPr>
          <w:rFonts w:ascii="Arial" w:hAnsi="Arial" w:cs="Arial"/>
          <w:b/>
          <w:sz w:val="24"/>
          <w:szCs w:val="24"/>
        </w:rPr>
      </w:pPr>
    </w:p>
    <w:p w:rsidR="00464E98" w:rsidRDefault="00464E98" w:rsidP="00464E98">
      <w:pPr>
        <w:spacing w:line="240" w:lineRule="auto"/>
        <w:contextualSpacing/>
        <w:rPr>
          <w:rFonts w:ascii="Arial" w:hAnsi="Arial" w:cs="Arial"/>
          <w:b/>
          <w:sz w:val="24"/>
          <w:szCs w:val="24"/>
        </w:rPr>
      </w:pPr>
    </w:p>
    <w:p w:rsidR="00464E98" w:rsidRDefault="00464E98" w:rsidP="00464E98">
      <w:pPr>
        <w:spacing w:line="240" w:lineRule="auto"/>
        <w:contextualSpacing/>
        <w:rPr>
          <w:rFonts w:ascii="Arial" w:hAnsi="Arial" w:cs="Arial"/>
          <w:b/>
          <w:sz w:val="24"/>
          <w:szCs w:val="24"/>
        </w:rPr>
      </w:pPr>
      <w:r>
        <w:rPr>
          <w:rFonts w:ascii="Arial" w:hAnsi="Arial" w:cs="Arial"/>
          <w:b/>
          <w:sz w:val="24"/>
          <w:szCs w:val="24"/>
        </w:rPr>
        <w:t>Resumen</w:t>
      </w:r>
    </w:p>
    <w:p w:rsidR="00464E98" w:rsidRDefault="00464E98" w:rsidP="00464E98">
      <w:pPr>
        <w:spacing w:line="240" w:lineRule="auto"/>
        <w:contextualSpacing/>
        <w:rPr>
          <w:rFonts w:ascii="Arial" w:hAnsi="Arial" w:cs="Arial"/>
          <w:b/>
          <w:sz w:val="24"/>
          <w:szCs w:val="24"/>
        </w:rPr>
      </w:pPr>
    </w:p>
    <w:p w:rsidR="00464E98" w:rsidRDefault="00464E98" w:rsidP="00464E98">
      <w:pPr>
        <w:spacing w:line="240" w:lineRule="auto"/>
        <w:contextualSpacing/>
        <w:rPr>
          <w:rFonts w:ascii="Arial" w:hAnsi="Arial" w:cs="Arial"/>
          <w:b/>
          <w:sz w:val="24"/>
          <w:szCs w:val="24"/>
        </w:rPr>
      </w:pPr>
      <w:r>
        <w:rPr>
          <w:rFonts w:ascii="Arial" w:hAnsi="Arial" w:cs="Arial"/>
          <w:b/>
          <w:sz w:val="24"/>
          <w:szCs w:val="24"/>
        </w:rPr>
        <w:t>Palabras Clave</w:t>
      </w:r>
    </w:p>
    <w:p w:rsidR="00464E98" w:rsidRDefault="00464E98" w:rsidP="00464E98">
      <w:pPr>
        <w:spacing w:line="240" w:lineRule="auto"/>
        <w:contextualSpacing/>
        <w:rPr>
          <w:rFonts w:ascii="Arial" w:hAnsi="Arial" w:cs="Arial"/>
          <w:b/>
          <w:sz w:val="24"/>
          <w:szCs w:val="24"/>
        </w:rPr>
      </w:pPr>
    </w:p>
    <w:p w:rsidR="00464E98" w:rsidRDefault="00464E98" w:rsidP="00464E98">
      <w:pPr>
        <w:spacing w:line="240" w:lineRule="auto"/>
        <w:contextualSpacing/>
        <w:rPr>
          <w:rFonts w:ascii="Arial" w:hAnsi="Arial" w:cs="Arial"/>
          <w:b/>
          <w:sz w:val="24"/>
          <w:szCs w:val="24"/>
        </w:rPr>
      </w:pPr>
    </w:p>
    <w:p w:rsidR="00464E98" w:rsidRPr="00077C44" w:rsidRDefault="00464E98" w:rsidP="00464E98">
      <w:pPr>
        <w:spacing w:line="240" w:lineRule="auto"/>
        <w:contextualSpacing/>
        <w:rPr>
          <w:rFonts w:ascii="Arial" w:hAnsi="Arial" w:cs="Arial"/>
          <w:b/>
          <w:sz w:val="24"/>
          <w:szCs w:val="24"/>
        </w:rPr>
      </w:pPr>
    </w:p>
    <w:p w:rsidR="001A0A35" w:rsidRPr="00077C44" w:rsidRDefault="00DD2E0D" w:rsidP="00077C44">
      <w:pPr>
        <w:spacing w:line="240" w:lineRule="auto"/>
        <w:rPr>
          <w:rFonts w:ascii="Arial" w:hAnsi="Arial" w:cs="Arial"/>
          <w:b/>
          <w:sz w:val="24"/>
          <w:szCs w:val="24"/>
        </w:rPr>
      </w:pPr>
      <w:r w:rsidRPr="00077C44">
        <w:rPr>
          <w:rFonts w:ascii="Arial" w:hAnsi="Arial" w:cs="Arial"/>
          <w:b/>
          <w:sz w:val="24"/>
          <w:szCs w:val="24"/>
        </w:rPr>
        <w:t>Introducción</w:t>
      </w:r>
    </w:p>
    <w:p w:rsidR="000B486A" w:rsidRDefault="00077C44" w:rsidP="00D94169">
      <w:pPr>
        <w:spacing w:line="240" w:lineRule="auto"/>
        <w:contextualSpacing/>
        <w:jc w:val="both"/>
        <w:rPr>
          <w:rFonts w:ascii="Arial" w:hAnsi="Arial" w:cs="Arial"/>
          <w:sz w:val="24"/>
          <w:szCs w:val="24"/>
        </w:rPr>
      </w:pPr>
      <w:r w:rsidRPr="00077C44">
        <w:rPr>
          <w:rFonts w:ascii="Arial" w:hAnsi="Arial" w:cs="Arial"/>
          <w:sz w:val="24"/>
          <w:szCs w:val="24"/>
        </w:rPr>
        <w:t>Este texto f</w:t>
      </w:r>
      <w:r w:rsidR="000B486A" w:rsidRPr="00077C44">
        <w:rPr>
          <w:rFonts w:ascii="Arial" w:hAnsi="Arial" w:cs="Arial"/>
          <w:sz w:val="24"/>
          <w:szCs w:val="24"/>
        </w:rPr>
        <w:t>orma parte del proyecto: “Imaginarios del retorno a Colombia postconflicto. Posibles escenarios a partir del discurso de refugiados colombianos en Ecuador y en las políticas para el retorno”</w:t>
      </w:r>
      <w:r w:rsidRPr="00077C44">
        <w:rPr>
          <w:rStyle w:val="Refdenotaalpie"/>
          <w:rFonts w:ascii="Arial" w:hAnsi="Arial" w:cs="Arial"/>
          <w:sz w:val="24"/>
          <w:szCs w:val="24"/>
        </w:rPr>
        <w:footnoteReference w:id="1"/>
      </w:r>
      <w:r w:rsidR="000B486A" w:rsidRPr="00077C44">
        <w:rPr>
          <w:rFonts w:ascii="Arial" w:hAnsi="Arial" w:cs="Arial"/>
          <w:sz w:val="24"/>
          <w:szCs w:val="24"/>
        </w:rPr>
        <w:t xml:space="preserve">. </w:t>
      </w:r>
      <w:r w:rsidRPr="00077C44">
        <w:rPr>
          <w:rFonts w:ascii="Arial" w:hAnsi="Arial" w:cs="Arial"/>
          <w:sz w:val="24"/>
          <w:szCs w:val="24"/>
        </w:rPr>
        <w:t>Proyecto aprobado por la Vicerrectoría Académica General de la Universidad Santo Tomás-Colombia en la décima convocatoria FODEIN 2016 (Fomento, Desarrollo y Producción de Investigación de Alto Nivel en la Universidad Santo Tomás).</w:t>
      </w:r>
    </w:p>
    <w:p w:rsidR="00704FF6" w:rsidRPr="00704FF6" w:rsidRDefault="00704FF6" w:rsidP="00D94169">
      <w:pPr>
        <w:spacing w:line="240" w:lineRule="auto"/>
        <w:contextualSpacing/>
        <w:jc w:val="both"/>
        <w:rPr>
          <w:rFonts w:ascii="Arial" w:hAnsi="Arial" w:cs="Arial"/>
          <w:sz w:val="24"/>
          <w:szCs w:val="24"/>
        </w:rPr>
      </w:pPr>
      <w:r>
        <w:rPr>
          <w:rFonts w:ascii="Arial" w:hAnsi="Arial" w:cs="Arial"/>
          <w:sz w:val="24"/>
          <w:szCs w:val="24"/>
        </w:rPr>
        <w:t>El proyecto aborda el hecho de que en</w:t>
      </w:r>
      <w:r w:rsidRPr="00704FF6">
        <w:rPr>
          <w:rFonts w:ascii="Arial" w:hAnsi="Arial" w:cs="Arial"/>
          <w:sz w:val="24"/>
          <w:szCs w:val="24"/>
        </w:rPr>
        <w:t xml:space="preserve"> Colombia el conflicto armado y la violencia han producido una alta migración forzada, millones de personas desplazadas internamente y cientos de miles han cruzado las fronteras para salir de Colombia. Ecuador registra el mayor número de refugiados colombianos, existiendo situaciones problemáticas que pueden impulsar a que estos busquen movilizarse a otro destino o regresar al país. De esta manera, las políticas para el retorno deben jugar un papel importante en facilitar este proceso.</w:t>
      </w:r>
    </w:p>
    <w:p w:rsidR="00704FF6" w:rsidRPr="00704FF6" w:rsidRDefault="00704FF6" w:rsidP="00D94169">
      <w:pPr>
        <w:spacing w:line="240" w:lineRule="auto"/>
        <w:contextualSpacing/>
        <w:jc w:val="both"/>
        <w:rPr>
          <w:rFonts w:ascii="Arial" w:hAnsi="Arial" w:cs="Arial"/>
          <w:sz w:val="24"/>
          <w:szCs w:val="24"/>
        </w:rPr>
      </w:pPr>
      <w:r w:rsidRPr="00704FF6">
        <w:rPr>
          <w:rFonts w:ascii="Arial" w:hAnsi="Arial" w:cs="Arial"/>
          <w:sz w:val="24"/>
          <w:szCs w:val="24"/>
        </w:rPr>
        <w:lastRenderedPageBreak/>
        <w:t>El proyecto busca identificar imaginarios del retorno a Colombia, en los refugiados colombianos y en las políticas para el retorno, analizando si existen correspondencias entre estos imaginarios; describiendo posibles escenarios del país en el postconflicto que favorezcan el retorno; generar insumos para la construcción y supervisión de las políticas para el retorno y aportar estrategias de convivencia dentro de una cultura de paz.</w:t>
      </w:r>
    </w:p>
    <w:p w:rsidR="00704FF6" w:rsidRPr="00077C44" w:rsidRDefault="00704FF6" w:rsidP="00D94169">
      <w:pPr>
        <w:spacing w:line="240" w:lineRule="auto"/>
        <w:contextualSpacing/>
        <w:jc w:val="both"/>
        <w:rPr>
          <w:rFonts w:ascii="Arial" w:hAnsi="Arial" w:cs="Arial"/>
          <w:sz w:val="24"/>
          <w:szCs w:val="24"/>
        </w:rPr>
      </w:pPr>
      <w:r w:rsidRPr="00704FF6">
        <w:rPr>
          <w:rFonts w:ascii="Arial" w:hAnsi="Arial" w:cs="Arial"/>
          <w:sz w:val="24"/>
          <w:szCs w:val="24"/>
        </w:rPr>
        <w:t xml:space="preserve">La metodología se basa en levantamiento de información a través de entrevistas a informantes clave, refugiados en Ecuador y funcionarios públicos vinculados con las políticas para el retorno, así como análisis documental de diferentes políticas y análisis del discurso a través del método </w:t>
      </w:r>
      <w:proofErr w:type="spellStart"/>
      <w:r w:rsidRPr="00704FF6">
        <w:rPr>
          <w:rFonts w:ascii="Arial" w:hAnsi="Arial" w:cs="Arial"/>
          <w:sz w:val="24"/>
          <w:szCs w:val="24"/>
        </w:rPr>
        <w:t>sociocibernético</w:t>
      </w:r>
      <w:proofErr w:type="spellEnd"/>
      <w:r w:rsidRPr="00704FF6">
        <w:rPr>
          <w:rFonts w:ascii="Arial" w:hAnsi="Arial" w:cs="Arial"/>
          <w:sz w:val="24"/>
          <w:szCs w:val="24"/>
        </w:rPr>
        <w:t xml:space="preserve"> de investigación en imaginarios sociales.</w:t>
      </w:r>
    </w:p>
    <w:p w:rsidR="000B486A" w:rsidRDefault="000B486A" w:rsidP="00D94169">
      <w:pPr>
        <w:spacing w:line="240" w:lineRule="auto"/>
        <w:contextualSpacing/>
        <w:jc w:val="both"/>
        <w:rPr>
          <w:rFonts w:ascii="Arial" w:hAnsi="Arial" w:cs="Arial"/>
          <w:sz w:val="24"/>
          <w:szCs w:val="24"/>
        </w:rPr>
      </w:pPr>
      <w:r w:rsidRPr="00077C44">
        <w:rPr>
          <w:rFonts w:ascii="Arial" w:hAnsi="Arial" w:cs="Arial"/>
          <w:sz w:val="24"/>
          <w:szCs w:val="24"/>
        </w:rPr>
        <w:t>Es un primer acercamiento al análisis del imaginario en torno al emigrante retornado en las políticas públicas colombianas; en donde lo que se busca es hacer emerger categorías y conceptos que permitan organizar los significados en relación a campos semánticos que vayan definiendo el propio imaginario. De esta manera observar una primera representación en el texto legal, distinguiendo algunos aspectos relevantes. Para ello, se tomará como referencia la Ley 1565 de 2012.</w:t>
      </w:r>
    </w:p>
    <w:p w:rsidR="00077C44" w:rsidRPr="00077C44" w:rsidRDefault="00077C44" w:rsidP="00077C44">
      <w:pPr>
        <w:spacing w:line="240" w:lineRule="auto"/>
        <w:jc w:val="both"/>
        <w:rPr>
          <w:rFonts w:ascii="Arial" w:hAnsi="Arial" w:cs="Arial"/>
          <w:sz w:val="24"/>
          <w:szCs w:val="24"/>
        </w:rPr>
      </w:pPr>
    </w:p>
    <w:p w:rsidR="001A0A35" w:rsidRDefault="00464E98" w:rsidP="00077C44">
      <w:pPr>
        <w:spacing w:line="240" w:lineRule="auto"/>
        <w:rPr>
          <w:rFonts w:ascii="Arial" w:hAnsi="Arial" w:cs="Arial"/>
          <w:b/>
          <w:sz w:val="24"/>
          <w:szCs w:val="24"/>
        </w:rPr>
      </w:pPr>
      <w:r>
        <w:rPr>
          <w:rFonts w:ascii="Arial" w:hAnsi="Arial" w:cs="Arial"/>
          <w:b/>
          <w:sz w:val="24"/>
          <w:szCs w:val="24"/>
        </w:rPr>
        <w:t>I</w:t>
      </w:r>
      <w:r w:rsidR="006520D2">
        <w:rPr>
          <w:rFonts w:ascii="Arial" w:hAnsi="Arial" w:cs="Arial"/>
          <w:b/>
          <w:sz w:val="24"/>
          <w:szCs w:val="24"/>
        </w:rPr>
        <w:t>maginario migratorio</w:t>
      </w:r>
      <w:r>
        <w:rPr>
          <w:rFonts w:ascii="Arial" w:hAnsi="Arial" w:cs="Arial"/>
          <w:b/>
          <w:sz w:val="24"/>
          <w:szCs w:val="24"/>
        </w:rPr>
        <w:t xml:space="preserve"> y retorno </w:t>
      </w:r>
      <w:r w:rsidR="00CB251E">
        <w:rPr>
          <w:rFonts w:ascii="Arial" w:hAnsi="Arial" w:cs="Arial"/>
          <w:b/>
          <w:sz w:val="24"/>
          <w:szCs w:val="24"/>
        </w:rPr>
        <w:t xml:space="preserve">en el postconflicto </w:t>
      </w:r>
    </w:p>
    <w:p w:rsidR="000B486A" w:rsidRPr="000B486A" w:rsidRDefault="000B486A" w:rsidP="00077C44">
      <w:pPr>
        <w:suppressAutoHyphens/>
        <w:autoSpaceDN w:val="0"/>
        <w:spacing w:after="0" w:line="240" w:lineRule="auto"/>
        <w:contextualSpacing/>
        <w:jc w:val="both"/>
        <w:textAlignment w:val="baseline"/>
        <w:rPr>
          <w:rFonts w:ascii="Arial" w:eastAsia="Times New Roman" w:hAnsi="Arial" w:cs="Arial"/>
          <w:sz w:val="24"/>
          <w:szCs w:val="24"/>
          <w:lang w:eastAsia="es-ES"/>
        </w:rPr>
      </w:pPr>
      <w:r w:rsidRPr="000B486A">
        <w:rPr>
          <w:rFonts w:ascii="Arial" w:eastAsia="Times New Roman" w:hAnsi="Arial" w:cs="Arial"/>
          <w:sz w:val="24"/>
          <w:szCs w:val="24"/>
          <w:lang w:eastAsia="es-ES"/>
        </w:rPr>
        <w:t xml:space="preserve">El imaginario social influye en cómo observamos la realidad y cómo esta cambia de lugar o de forma y se transfigura en nuevas maneras de entender la propia existencia humana, dado que instituye una visualización posible a través de la construcción de imaginarios diversos, los cuales según la perspectiva sistémica del teórico español Juan Luis Pintos, serían: “aquellas representaciones colectivas que rigen los sistemas de identificación y de integración social, y que hacen visible la invisibilidad social” (Pintos, 1995: 8) y están siendo: “1.- Esquemas socialmente construidos, 2.- Que nos permiten percibir, explicar e intervenir, 3.- En lo que en cada sistema social diferenciado, 4. Se tenga por realidad” (Pintos, 2004: 20). </w:t>
      </w:r>
    </w:p>
    <w:p w:rsidR="000B486A" w:rsidRPr="000B486A" w:rsidRDefault="000B486A" w:rsidP="00077C44">
      <w:pPr>
        <w:suppressAutoHyphens/>
        <w:autoSpaceDN w:val="0"/>
        <w:spacing w:after="0" w:line="240" w:lineRule="auto"/>
        <w:contextualSpacing/>
        <w:jc w:val="both"/>
        <w:textAlignment w:val="baseline"/>
        <w:rPr>
          <w:rFonts w:ascii="Arial" w:eastAsia="Times New Roman" w:hAnsi="Arial" w:cs="Arial"/>
          <w:sz w:val="24"/>
          <w:szCs w:val="24"/>
          <w:lang w:eastAsia="es-ES"/>
        </w:rPr>
      </w:pPr>
      <w:r w:rsidRPr="000B486A">
        <w:rPr>
          <w:rFonts w:ascii="Arial" w:eastAsia="Times New Roman" w:hAnsi="Arial" w:cs="Arial"/>
          <w:sz w:val="24"/>
          <w:szCs w:val="24"/>
          <w:lang w:eastAsia="es-ES"/>
        </w:rPr>
        <w:t>En el imaginario se encuentran y desencuentran elementos en base a diversos intereses, lo que implica</w:t>
      </w:r>
      <w:r w:rsidR="00704FF6">
        <w:rPr>
          <w:rFonts w:ascii="Arial" w:eastAsia="Times New Roman" w:hAnsi="Arial" w:cs="Arial"/>
          <w:sz w:val="24"/>
          <w:szCs w:val="24"/>
          <w:lang w:eastAsia="es-ES"/>
        </w:rPr>
        <w:t xml:space="preserve"> que debemos considerar que los migrantes </w:t>
      </w:r>
      <w:r w:rsidRPr="000B486A">
        <w:rPr>
          <w:rFonts w:ascii="Arial" w:eastAsia="Times New Roman" w:hAnsi="Arial" w:cs="Arial"/>
          <w:sz w:val="24"/>
          <w:szCs w:val="24"/>
          <w:lang w:eastAsia="es-ES"/>
        </w:rPr>
        <w:t>se constituyen como un colectivo que puede generar unos significados comunes</w:t>
      </w:r>
      <w:r w:rsidR="00F67C8C">
        <w:rPr>
          <w:rFonts w:ascii="Arial" w:eastAsia="Times New Roman" w:hAnsi="Arial" w:cs="Arial"/>
          <w:sz w:val="24"/>
          <w:szCs w:val="24"/>
          <w:lang w:eastAsia="es-ES"/>
        </w:rPr>
        <w:t xml:space="preserve"> y</w:t>
      </w:r>
      <w:r w:rsidR="00F11944">
        <w:rPr>
          <w:rFonts w:ascii="Arial" w:eastAsia="Times New Roman" w:hAnsi="Arial" w:cs="Arial"/>
          <w:sz w:val="24"/>
          <w:szCs w:val="24"/>
          <w:lang w:eastAsia="es-ES"/>
        </w:rPr>
        <w:t xml:space="preserve"> puede estar afectado por elementos</w:t>
      </w:r>
      <w:r w:rsidR="00F67C8C">
        <w:rPr>
          <w:rFonts w:ascii="Arial" w:eastAsia="Times New Roman" w:hAnsi="Arial" w:cs="Arial"/>
          <w:sz w:val="24"/>
          <w:szCs w:val="24"/>
          <w:lang w:eastAsia="es-ES"/>
        </w:rPr>
        <w:t xml:space="preserve"> de significado</w:t>
      </w:r>
      <w:r w:rsidRPr="000B486A">
        <w:rPr>
          <w:rFonts w:ascii="Arial" w:eastAsia="Times New Roman" w:hAnsi="Arial" w:cs="Arial"/>
          <w:sz w:val="24"/>
          <w:szCs w:val="24"/>
          <w:lang w:eastAsia="es-ES"/>
        </w:rPr>
        <w:t xml:space="preserve"> que configurarían</w:t>
      </w:r>
      <w:r w:rsidR="00F67C8C">
        <w:rPr>
          <w:rFonts w:ascii="Arial" w:eastAsia="Times New Roman" w:hAnsi="Arial" w:cs="Arial"/>
          <w:sz w:val="24"/>
          <w:szCs w:val="24"/>
          <w:lang w:eastAsia="es-ES"/>
        </w:rPr>
        <w:t xml:space="preserve"> el imaginario, por ejemplo </w:t>
      </w:r>
      <w:r w:rsidRPr="000B486A">
        <w:rPr>
          <w:rFonts w:ascii="Arial" w:eastAsia="Times New Roman" w:hAnsi="Arial" w:cs="Arial"/>
          <w:sz w:val="24"/>
          <w:szCs w:val="24"/>
          <w:lang w:eastAsia="es-ES"/>
        </w:rPr>
        <w:t>las políticas públicas contienen un discurso que expresa</w:t>
      </w:r>
      <w:r w:rsidR="00F11944">
        <w:rPr>
          <w:rFonts w:ascii="Arial" w:eastAsia="Times New Roman" w:hAnsi="Arial" w:cs="Arial"/>
          <w:sz w:val="24"/>
          <w:szCs w:val="24"/>
          <w:lang w:eastAsia="es-ES"/>
        </w:rPr>
        <w:t>n</w:t>
      </w:r>
      <w:r w:rsidRPr="000B486A">
        <w:rPr>
          <w:rFonts w:ascii="Arial" w:eastAsia="Times New Roman" w:hAnsi="Arial" w:cs="Arial"/>
          <w:sz w:val="24"/>
          <w:szCs w:val="24"/>
          <w:lang w:eastAsia="es-ES"/>
        </w:rPr>
        <w:t xml:space="preserve"> una manera </w:t>
      </w:r>
      <w:r w:rsidR="00F67C8C">
        <w:rPr>
          <w:rFonts w:ascii="Arial" w:eastAsia="Times New Roman" w:hAnsi="Arial" w:cs="Arial"/>
          <w:sz w:val="24"/>
          <w:szCs w:val="24"/>
          <w:lang w:eastAsia="es-ES"/>
        </w:rPr>
        <w:t xml:space="preserve">particular </w:t>
      </w:r>
      <w:r w:rsidRPr="000B486A">
        <w:rPr>
          <w:rFonts w:ascii="Arial" w:eastAsia="Times New Roman" w:hAnsi="Arial" w:cs="Arial"/>
          <w:sz w:val="24"/>
          <w:szCs w:val="24"/>
          <w:lang w:eastAsia="es-ES"/>
        </w:rPr>
        <w:t>de entender la realidad</w:t>
      </w:r>
      <w:r w:rsidR="00CB251E">
        <w:rPr>
          <w:rFonts w:ascii="Arial" w:eastAsia="Times New Roman" w:hAnsi="Arial" w:cs="Arial"/>
          <w:sz w:val="24"/>
          <w:szCs w:val="24"/>
          <w:lang w:eastAsia="es-ES"/>
        </w:rPr>
        <w:t xml:space="preserve"> migratoria</w:t>
      </w:r>
      <w:r w:rsidRPr="000B486A">
        <w:rPr>
          <w:rFonts w:ascii="Arial" w:eastAsia="Times New Roman" w:hAnsi="Arial" w:cs="Arial"/>
          <w:sz w:val="24"/>
          <w:szCs w:val="24"/>
          <w:lang w:eastAsia="es-ES"/>
        </w:rPr>
        <w:t xml:space="preserve">. </w:t>
      </w:r>
    </w:p>
    <w:p w:rsidR="000B486A" w:rsidRDefault="000B486A" w:rsidP="00077C44">
      <w:pPr>
        <w:suppressAutoHyphens/>
        <w:autoSpaceDN w:val="0"/>
        <w:spacing w:after="0" w:line="240" w:lineRule="auto"/>
        <w:contextualSpacing/>
        <w:jc w:val="both"/>
        <w:textAlignment w:val="baseline"/>
        <w:rPr>
          <w:rFonts w:ascii="Arial" w:eastAsia="Times New Roman" w:hAnsi="Arial" w:cs="Arial"/>
          <w:sz w:val="24"/>
          <w:szCs w:val="24"/>
          <w:lang w:eastAsia="es-ES"/>
        </w:rPr>
      </w:pPr>
      <w:r w:rsidRPr="000B486A">
        <w:rPr>
          <w:rFonts w:ascii="Arial" w:eastAsia="Times New Roman" w:hAnsi="Arial" w:cs="Arial"/>
          <w:sz w:val="24"/>
          <w:szCs w:val="24"/>
          <w:lang w:eastAsia="es-ES"/>
        </w:rPr>
        <w:t xml:space="preserve">Desde la </w:t>
      </w:r>
      <w:r w:rsidR="00991856" w:rsidRPr="000B486A">
        <w:rPr>
          <w:rFonts w:ascii="Arial" w:eastAsia="Times New Roman" w:hAnsi="Arial" w:cs="Arial"/>
          <w:sz w:val="24"/>
          <w:szCs w:val="24"/>
          <w:lang w:eastAsia="es-ES"/>
        </w:rPr>
        <w:t>perspectiva</w:t>
      </w:r>
      <w:r w:rsidRPr="000B486A">
        <w:rPr>
          <w:rFonts w:ascii="Arial" w:eastAsia="Times New Roman" w:hAnsi="Arial" w:cs="Arial"/>
          <w:sz w:val="24"/>
          <w:szCs w:val="24"/>
          <w:lang w:eastAsia="es-ES"/>
        </w:rPr>
        <w:t xml:space="preserve"> del experto en imaginarios sociales Manuel Baeza, estos serían: “Composiciones ya socializadas en el tramado mismo de las relaciones sociales, con el propósito de dar inteligibilidad al cosmos, al mundo y a la sociedad, al mundo y a la naturaleza, a la vida desde sus orígenes y a la muerte” (Baeza, 2000: 33).  Estas composiciones, relatos o discursos, nos entregan elementos de lo que puede transformarse en un proyecto a futuro o en la esperanza de vivir en un mejor país mejor</w:t>
      </w:r>
      <w:r w:rsidR="00662D47">
        <w:rPr>
          <w:rFonts w:ascii="Arial" w:eastAsia="Times New Roman" w:hAnsi="Arial" w:cs="Arial"/>
          <w:sz w:val="24"/>
          <w:szCs w:val="24"/>
          <w:lang w:eastAsia="es-ES"/>
        </w:rPr>
        <w:t>.</w:t>
      </w:r>
    </w:p>
    <w:p w:rsidR="000B486A" w:rsidRPr="000B486A" w:rsidRDefault="000B486A" w:rsidP="00077C44">
      <w:pPr>
        <w:suppressAutoHyphens/>
        <w:autoSpaceDN w:val="0"/>
        <w:spacing w:after="0" w:line="240" w:lineRule="auto"/>
        <w:contextualSpacing/>
        <w:jc w:val="both"/>
        <w:textAlignment w:val="baseline"/>
        <w:rPr>
          <w:rFonts w:ascii="Arial" w:eastAsia="Times New Roman" w:hAnsi="Arial" w:cs="Arial"/>
          <w:sz w:val="24"/>
          <w:szCs w:val="24"/>
          <w:lang w:eastAsia="es-ES"/>
        </w:rPr>
      </w:pPr>
      <w:r w:rsidRPr="000B486A">
        <w:rPr>
          <w:rFonts w:ascii="Arial" w:eastAsia="Times New Roman" w:hAnsi="Arial" w:cs="Arial"/>
          <w:sz w:val="24"/>
          <w:szCs w:val="24"/>
          <w:lang w:eastAsia="es-ES"/>
        </w:rPr>
        <w:t>En el campo de los imaginarios al apuntar al retorno supone una serie de elementos propios</w:t>
      </w:r>
      <w:r w:rsidR="00662D47">
        <w:rPr>
          <w:rFonts w:ascii="Arial" w:eastAsia="Times New Roman" w:hAnsi="Arial" w:cs="Arial"/>
          <w:sz w:val="24"/>
          <w:szCs w:val="24"/>
          <w:lang w:eastAsia="es-ES"/>
        </w:rPr>
        <w:t xml:space="preserve"> a las migraciones</w:t>
      </w:r>
      <w:r w:rsidRPr="000B486A">
        <w:rPr>
          <w:rFonts w:ascii="Arial" w:eastAsia="Times New Roman" w:hAnsi="Arial" w:cs="Arial"/>
          <w:sz w:val="24"/>
          <w:szCs w:val="24"/>
          <w:lang w:eastAsia="es-ES"/>
        </w:rPr>
        <w:t xml:space="preserve">, por lo que se estaría aludiendo al concepto de </w:t>
      </w:r>
      <w:r w:rsidRPr="000B486A">
        <w:rPr>
          <w:rFonts w:ascii="Arial" w:eastAsia="Times New Roman" w:hAnsi="Arial" w:cs="Arial"/>
          <w:i/>
          <w:sz w:val="24"/>
          <w:szCs w:val="24"/>
          <w:lang w:eastAsia="es-ES"/>
        </w:rPr>
        <w:t>imaginario migratorio</w:t>
      </w:r>
      <w:r w:rsidRPr="000B486A">
        <w:rPr>
          <w:rFonts w:ascii="Arial" w:eastAsia="Times New Roman" w:hAnsi="Arial" w:cs="Arial"/>
          <w:sz w:val="24"/>
          <w:szCs w:val="24"/>
          <w:lang w:eastAsia="es-ES"/>
        </w:rPr>
        <w:t xml:space="preserve">, entendiendo este como: “la representación que se haga de la migración en relación a aquellos elementos que identifican a un grupo, ya sean los propios </w:t>
      </w:r>
      <w:r w:rsidRPr="000B486A">
        <w:rPr>
          <w:rFonts w:ascii="Arial" w:eastAsia="Times New Roman" w:hAnsi="Arial" w:cs="Arial"/>
          <w:sz w:val="24"/>
          <w:szCs w:val="24"/>
          <w:lang w:eastAsia="es-ES"/>
        </w:rPr>
        <w:lastRenderedPageBreak/>
        <w:t xml:space="preserve">migrantes o a los individuos locales, uniéndolos en relación a lo que se comunica y lo que se oculta en torno al proceso migratorio” (Aliaga, 2012:4). En este plano </w:t>
      </w:r>
      <w:r w:rsidR="00CB251E">
        <w:rPr>
          <w:rFonts w:ascii="Arial" w:eastAsia="Times New Roman" w:hAnsi="Arial" w:cs="Arial"/>
          <w:sz w:val="24"/>
          <w:szCs w:val="24"/>
          <w:lang w:eastAsia="es-ES"/>
        </w:rPr>
        <w:t xml:space="preserve">es importante </w:t>
      </w:r>
      <w:r w:rsidRPr="000B486A">
        <w:rPr>
          <w:rFonts w:ascii="Arial" w:eastAsia="Times New Roman" w:hAnsi="Arial" w:cs="Arial"/>
          <w:sz w:val="24"/>
          <w:szCs w:val="24"/>
          <w:lang w:eastAsia="es-ES"/>
        </w:rPr>
        <w:t xml:space="preserve">el estudio del imaginario tanto en los </w:t>
      </w:r>
      <w:r w:rsidR="00BF7116">
        <w:rPr>
          <w:rFonts w:ascii="Arial" w:eastAsia="Times New Roman" w:hAnsi="Arial" w:cs="Arial"/>
          <w:sz w:val="24"/>
          <w:szCs w:val="24"/>
          <w:lang w:eastAsia="es-ES"/>
        </w:rPr>
        <w:t xml:space="preserve">discursos de los refugiados </w:t>
      </w:r>
      <w:r w:rsidRPr="000B486A">
        <w:rPr>
          <w:rFonts w:ascii="Arial" w:eastAsia="Times New Roman" w:hAnsi="Arial" w:cs="Arial"/>
          <w:sz w:val="24"/>
          <w:szCs w:val="24"/>
          <w:lang w:eastAsia="es-ES"/>
        </w:rPr>
        <w:t xml:space="preserve">como en las políticas públicas, para observar las distancias o las cercanías existentes. Aliaga (2012) apunta que el imaginario migratorio puede cambiar </w:t>
      </w:r>
      <w:r w:rsidR="00BF7116">
        <w:rPr>
          <w:rFonts w:ascii="Arial" w:eastAsia="Times New Roman" w:hAnsi="Arial" w:cs="Arial"/>
          <w:sz w:val="24"/>
          <w:szCs w:val="24"/>
          <w:lang w:eastAsia="es-ES"/>
        </w:rPr>
        <w:t>a partir de</w:t>
      </w:r>
      <w:r w:rsidRPr="000B486A">
        <w:rPr>
          <w:rFonts w:ascii="Arial" w:eastAsia="Times New Roman" w:hAnsi="Arial" w:cs="Arial"/>
          <w:sz w:val="24"/>
          <w:szCs w:val="24"/>
          <w:lang w:eastAsia="es-ES"/>
        </w:rPr>
        <w:t xml:space="preserve"> las prácticas que se instituyan en relación a este, de esta forma se puede configurar como un imaginario migratorio del retorno, el cual, según Susana </w:t>
      </w:r>
      <w:proofErr w:type="spellStart"/>
      <w:r w:rsidRPr="000B486A">
        <w:rPr>
          <w:rFonts w:ascii="Arial" w:eastAsia="Times New Roman" w:hAnsi="Arial" w:cs="Arial"/>
          <w:sz w:val="24"/>
          <w:szCs w:val="24"/>
          <w:lang w:eastAsia="es-ES"/>
        </w:rPr>
        <w:t>Sassone</w:t>
      </w:r>
      <w:proofErr w:type="spellEnd"/>
      <w:r w:rsidRPr="000B486A">
        <w:rPr>
          <w:rFonts w:ascii="Arial" w:eastAsia="Times New Roman" w:hAnsi="Arial" w:cs="Arial"/>
          <w:sz w:val="24"/>
          <w:szCs w:val="24"/>
          <w:lang w:eastAsia="es-ES"/>
        </w:rPr>
        <w:t xml:space="preserve"> “se expresa por lazos que articulan el destino con el lugar de origen” (</w:t>
      </w:r>
      <w:proofErr w:type="spellStart"/>
      <w:r w:rsidRPr="000B486A">
        <w:rPr>
          <w:rFonts w:ascii="Arial" w:eastAsia="Times New Roman" w:hAnsi="Arial" w:cs="Arial"/>
          <w:sz w:val="24"/>
          <w:szCs w:val="24"/>
          <w:lang w:eastAsia="es-ES"/>
        </w:rPr>
        <w:t>Sassone</w:t>
      </w:r>
      <w:proofErr w:type="spellEnd"/>
      <w:r w:rsidRPr="000B486A">
        <w:rPr>
          <w:rFonts w:ascii="Arial" w:eastAsia="Times New Roman" w:hAnsi="Arial" w:cs="Arial"/>
          <w:sz w:val="24"/>
          <w:szCs w:val="24"/>
          <w:lang w:eastAsia="es-ES"/>
        </w:rPr>
        <w:t>, 2008:74).</w:t>
      </w:r>
    </w:p>
    <w:p w:rsidR="00765669" w:rsidRDefault="00765669" w:rsidP="00077C44">
      <w:pPr>
        <w:suppressAutoHyphens/>
        <w:autoSpaceDN w:val="0"/>
        <w:spacing w:after="0" w:line="240" w:lineRule="auto"/>
        <w:contextualSpacing/>
        <w:jc w:val="both"/>
        <w:textAlignment w:val="baseline"/>
        <w:rPr>
          <w:rFonts w:ascii="Arial" w:eastAsia="Times New Roman" w:hAnsi="Arial" w:cs="Arial"/>
          <w:sz w:val="24"/>
          <w:szCs w:val="24"/>
          <w:lang w:eastAsia="es-ES"/>
        </w:rPr>
      </w:pPr>
      <w:r>
        <w:rPr>
          <w:rFonts w:ascii="Arial" w:eastAsia="Times New Roman" w:hAnsi="Arial" w:cs="Arial"/>
          <w:sz w:val="24"/>
          <w:szCs w:val="24"/>
          <w:lang w:eastAsia="es-ES"/>
        </w:rPr>
        <w:t>De esta forma pueden existir tipos de imaginarios que se enc</w:t>
      </w:r>
      <w:r w:rsidR="00DC6B35">
        <w:rPr>
          <w:rFonts w:ascii="Arial" w:eastAsia="Times New Roman" w:hAnsi="Arial" w:cs="Arial"/>
          <w:sz w:val="24"/>
          <w:szCs w:val="24"/>
          <w:lang w:eastAsia="es-ES"/>
        </w:rPr>
        <w:t>uentran en</w:t>
      </w:r>
      <w:r>
        <w:rPr>
          <w:rFonts w:ascii="Arial" w:eastAsia="Times New Roman" w:hAnsi="Arial" w:cs="Arial"/>
          <w:sz w:val="24"/>
          <w:szCs w:val="24"/>
          <w:lang w:eastAsia="es-ES"/>
        </w:rPr>
        <w:t xml:space="preserve"> la configuración del imaginario en torno al </w:t>
      </w:r>
      <w:r w:rsidR="00DC6B35">
        <w:rPr>
          <w:rFonts w:ascii="Arial" w:eastAsia="Times New Roman" w:hAnsi="Arial" w:cs="Arial"/>
          <w:sz w:val="24"/>
          <w:szCs w:val="24"/>
          <w:lang w:eastAsia="es-ES"/>
        </w:rPr>
        <w:t>in</w:t>
      </w:r>
      <w:r>
        <w:rPr>
          <w:rFonts w:ascii="Arial" w:eastAsia="Times New Roman" w:hAnsi="Arial" w:cs="Arial"/>
          <w:sz w:val="24"/>
          <w:szCs w:val="24"/>
          <w:lang w:eastAsia="es-ES"/>
        </w:rPr>
        <w:t>migrante</w:t>
      </w:r>
      <w:r w:rsidR="00CB251E">
        <w:rPr>
          <w:rFonts w:ascii="Arial" w:eastAsia="Times New Roman" w:hAnsi="Arial" w:cs="Arial"/>
          <w:sz w:val="24"/>
          <w:szCs w:val="24"/>
          <w:lang w:eastAsia="es-ES"/>
        </w:rPr>
        <w:t xml:space="preserve"> </w:t>
      </w:r>
      <w:r>
        <w:rPr>
          <w:rFonts w:ascii="Arial" w:eastAsia="Times New Roman" w:hAnsi="Arial" w:cs="Arial"/>
          <w:sz w:val="24"/>
          <w:szCs w:val="24"/>
          <w:lang w:eastAsia="es-ES"/>
        </w:rPr>
        <w:t xml:space="preserve">y su posición dentro de la sociedad, lo </w:t>
      </w:r>
      <w:r w:rsidR="00CB251E">
        <w:rPr>
          <w:rFonts w:ascii="Arial" w:eastAsia="Times New Roman" w:hAnsi="Arial" w:cs="Arial"/>
          <w:sz w:val="24"/>
          <w:szCs w:val="24"/>
          <w:lang w:eastAsia="es-ES"/>
        </w:rPr>
        <w:t>cual puede impulsar</w:t>
      </w:r>
      <w:r>
        <w:rPr>
          <w:rFonts w:ascii="Arial" w:eastAsia="Times New Roman" w:hAnsi="Arial" w:cs="Arial"/>
          <w:sz w:val="24"/>
          <w:szCs w:val="24"/>
          <w:lang w:eastAsia="es-ES"/>
        </w:rPr>
        <w:t xml:space="preserve"> el proceso del retorno, es decir, bajo qué características se observa la figura del mismo</w:t>
      </w:r>
      <w:r w:rsidR="00662D47">
        <w:rPr>
          <w:rFonts w:ascii="Arial" w:eastAsia="Times New Roman" w:hAnsi="Arial" w:cs="Arial"/>
          <w:sz w:val="24"/>
          <w:szCs w:val="24"/>
          <w:lang w:eastAsia="es-ES"/>
        </w:rPr>
        <w:t xml:space="preserve">, </w:t>
      </w:r>
      <w:r>
        <w:rPr>
          <w:rFonts w:ascii="Arial" w:eastAsia="Times New Roman" w:hAnsi="Arial" w:cs="Arial"/>
          <w:sz w:val="24"/>
          <w:szCs w:val="24"/>
          <w:lang w:eastAsia="es-ES"/>
        </w:rPr>
        <w:t xml:space="preserve"> por las instituciones o en las políticas públicas y su influencia en la acción del retorno.</w:t>
      </w:r>
    </w:p>
    <w:p w:rsidR="000B486A" w:rsidRPr="000B486A" w:rsidRDefault="00765669" w:rsidP="00077C44">
      <w:pPr>
        <w:suppressAutoHyphens/>
        <w:autoSpaceDN w:val="0"/>
        <w:spacing w:after="0" w:line="240" w:lineRule="auto"/>
        <w:contextualSpacing/>
        <w:jc w:val="both"/>
        <w:textAlignment w:val="baseline"/>
        <w:rPr>
          <w:rFonts w:ascii="Arial" w:eastAsia="Times New Roman" w:hAnsi="Arial" w:cs="Arial"/>
          <w:sz w:val="24"/>
          <w:szCs w:val="24"/>
          <w:lang w:eastAsia="es-ES"/>
        </w:rPr>
      </w:pPr>
      <w:r>
        <w:rPr>
          <w:rFonts w:ascii="Arial" w:eastAsia="Times New Roman" w:hAnsi="Arial" w:cs="Arial"/>
          <w:sz w:val="24"/>
          <w:szCs w:val="24"/>
          <w:lang w:eastAsia="es-ES"/>
        </w:rPr>
        <w:t>En e</w:t>
      </w:r>
      <w:r w:rsidR="00CB251E">
        <w:rPr>
          <w:rFonts w:ascii="Arial" w:eastAsia="Times New Roman" w:hAnsi="Arial" w:cs="Arial"/>
          <w:sz w:val="24"/>
          <w:szCs w:val="24"/>
          <w:lang w:eastAsia="es-ES"/>
        </w:rPr>
        <w:t xml:space="preserve">l imaginario migratorio </w:t>
      </w:r>
      <w:r>
        <w:rPr>
          <w:rFonts w:ascii="Arial" w:eastAsia="Times New Roman" w:hAnsi="Arial" w:cs="Arial"/>
          <w:sz w:val="24"/>
          <w:szCs w:val="24"/>
          <w:lang w:eastAsia="es-ES"/>
        </w:rPr>
        <w:t>influye</w:t>
      </w:r>
      <w:r w:rsidR="00DC6B35">
        <w:rPr>
          <w:rFonts w:ascii="Arial" w:eastAsia="Times New Roman" w:hAnsi="Arial" w:cs="Arial"/>
          <w:sz w:val="24"/>
          <w:szCs w:val="24"/>
          <w:lang w:eastAsia="es-ES"/>
        </w:rPr>
        <w:t>n dif</w:t>
      </w:r>
      <w:r w:rsidR="00662D47">
        <w:rPr>
          <w:rFonts w:ascii="Arial" w:eastAsia="Times New Roman" w:hAnsi="Arial" w:cs="Arial"/>
          <w:sz w:val="24"/>
          <w:szCs w:val="24"/>
          <w:lang w:eastAsia="es-ES"/>
        </w:rPr>
        <w:t xml:space="preserve">erentes aspectos, como </w:t>
      </w:r>
      <w:r w:rsidR="00DC6B35">
        <w:rPr>
          <w:rFonts w:ascii="Arial" w:eastAsia="Times New Roman" w:hAnsi="Arial" w:cs="Arial"/>
          <w:sz w:val="24"/>
          <w:szCs w:val="24"/>
          <w:lang w:eastAsia="es-ES"/>
        </w:rPr>
        <w:t>la</w:t>
      </w:r>
      <w:r w:rsidR="000B486A" w:rsidRPr="000B486A">
        <w:rPr>
          <w:rFonts w:ascii="Arial" w:eastAsia="Times New Roman" w:hAnsi="Arial" w:cs="Arial"/>
          <w:sz w:val="24"/>
          <w:szCs w:val="24"/>
          <w:lang w:eastAsia="es-ES"/>
        </w:rPr>
        <w:t xml:space="preserve"> situación </w:t>
      </w:r>
      <w:r w:rsidR="000524C7" w:rsidRPr="000B486A">
        <w:rPr>
          <w:rFonts w:ascii="Arial" w:eastAsia="Times New Roman" w:hAnsi="Arial" w:cs="Arial"/>
          <w:sz w:val="24"/>
          <w:szCs w:val="24"/>
          <w:lang w:eastAsia="es-ES"/>
        </w:rPr>
        <w:t xml:space="preserve">constante </w:t>
      </w:r>
      <w:r w:rsidR="000B486A" w:rsidRPr="000B486A">
        <w:rPr>
          <w:rFonts w:ascii="Arial" w:eastAsia="Times New Roman" w:hAnsi="Arial" w:cs="Arial"/>
          <w:sz w:val="24"/>
          <w:szCs w:val="24"/>
          <w:lang w:eastAsia="es-ES"/>
        </w:rPr>
        <w:t>de riesgo</w:t>
      </w:r>
      <w:r>
        <w:rPr>
          <w:rFonts w:ascii="Arial" w:eastAsia="Times New Roman" w:hAnsi="Arial" w:cs="Arial"/>
          <w:sz w:val="24"/>
          <w:szCs w:val="24"/>
          <w:lang w:eastAsia="es-ES"/>
        </w:rPr>
        <w:t xml:space="preserve"> a la que pueden estar expuestos los migrantes</w:t>
      </w:r>
      <w:r w:rsidR="000B486A" w:rsidRPr="000B486A">
        <w:rPr>
          <w:rFonts w:ascii="Arial" w:eastAsia="Times New Roman" w:hAnsi="Arial" w:cs="Arial"/>
          <w:sz w:val="24"/>
          <w:szCs w:val="24"/>
          <w:lang w:eastAsia="es-ES"/>
        </w:rPr>
        <w:t xml:space="preserve">, desde la teoría de </w:t>
      </w:r>
      <w:r w:rsidR="00662D47" w:rsidRPr="000B486A">
        <w:rPr>
          <w:rFonts w:ascii="Arial" w:eastAsia="Times New Roman" w:hAnsi="Arial" w:cs="Arial"/>
          <w:sz w:val="24"/>
          <w:szCs w:val="24"/>
          <w:lang w:eastAsia="es-ES"/>
        </w:rPr>
        <w:t>Ulrich Beck</w:t>
      </w:r>
      <w:r w:rsidR="00662D47">
        <w:rPr>
          <w:rFonts w:ascii="Arial" w:eastAsia="Times New Roman" w:hAnsi="Arial" w:cs="Arial"/>
          <w:sz w:val="24"/>
          <w:szCs w:val="24"/>
          <w:lang w:eastAsia="es-ES"/>
        </w:rPr>
        <w:t>, en donde</w:t>
      </w:r>
      <w:r w:rsidR="00662D47" w:rsidRPr="000B486A">
        <w:rPr>
          <w:rFonts w:ascii="Arial" w:eastAsia="Times New Roman" w:hAnsi="Arial" w:cs="Arial"/>
          <w:sz w:val="24"/>
          <w:szCs w:val="24"/>
          <w:lang w:eastAsia="es-ES"/>
        </w:rPr>
        <w:t xml:space="preserve"> </w:t>
      </w:r>
      <w:r w:rsidR="000B486A" w:rsidRPr="000B486A">
        <w:rPr>
          <w:rFonts w:ascii="Arial" w:eastAsia="Times New Roman" w:hAnsi="Arial" w:cs="Arial"/>
          <w:sz w:val="24"/>
          <w:szCs w:val="24"/>
          <w:lang w:eastAsia="es-ES"/>
        </w:rPr>
        <w:t>la sociedad</w:t>
      </w:r>
      <w:r w:rsidR="00662D47">
        <w:rPr>
          <w:rFonts w:ascii="Arial" w:eastAsia="Times New Roman" w:hAnsi="Arial" w:cs="Arial"/>
          <w:sz w:val="24"/>
          <w:szCs w:val="24"/>
          <w:lang w:eastAsia="es-ES"/>
        </w:rPr>
        <w:t xml:space="preserve"> del riesgo </w:t>
      </w:r>
      <w:r w:rsidR="000B486A" w:rsidRPr="000B486A">
        <w:rPr>
          <w:rFonts w:ascii="Arial" w:eastAsia="Times New Roman" w:hAnsi="Arial" w:cs="Arial"/>
          <w:sz w:val="24"/>
          <w:szCs w:val="24"/>
          <w:lang w:eastAsia="es-ES"/>
        </w:rPr>
        <w:t>sería: “una fase de desarrollo de la sociedad moderna en la que los riesgos sociales, políticos, ecológicos e individuales creados por el impulso de innovación eluden cada vez más el control y las instituciones protectoras de la sociedad industrial” (Beck, 2009:113). Este periodo se desarrollaría bajo una lógica  de “consecuencias no deseadas”</w:t>
      </w:r>
      <w:r w:rsidR="00CB251E">
        <w:rPr>
          <w:rFonts w:ascii="Arial" w:eastAsia="Times New Roman" w:hAnsi="Arial" w:cs="Arial"/>
          <w:sz w:val="24"/>
          <w:szCs w:val="24"/>
          <w:lang w:eastAsia="es-ES"/>
        </w:rPr>
        <w:t xml:space="preserve"> (Beck, 2009:114)</w:t>
      </w:r>
      <w:r w:rsidR="00D7576F">
        <w:rPr>
          <w:rFonts w:ascii="Arial" w:eastAsia="Times New Roman" w:hAnsi="Arial" w:cs="Arial"/>
          <w:sz w:val="24"/>
          <w:szCs w:val="24"/>
          <w:lang w:eastAsia="es-ES"/>
        </w:rPr>
        <w:t>,</w:t>
      </w:r>
      <w:r w:rsidR="00CB251E">
        <w:rPr>
          <w:rFonts w:ascii="Arial" w:eastAsia="Times New Roman" w:hAnsi="Arial" w:cs="Arial"/>
          <w:sz w:val="24"/>
          <w:szCs w:val="24"/>
          <w:lang w:eastAsia="es-ES"/>
        </w:rPr>
        <w:t xml:space="preserve"> </w:t>
      </w:r>
      <w:r w:rsidR="00DC6B35">
        <w:rPr>
          <w:rFonts w:ascii="Arial" w:eastAsia="Times New Roman" w:hAnsi="Arial" w:cs="Arial"/>
          <w:sz w:val="24"/>
          <w:szCs w:val="24"/>
          <w:lang w:eastAsia="es-ES"/>
        </w:rPr>
        <w:t xml:space="preserve"> condiciones</w:t>
      </w:r>
      <w:r w:rsidR="000B486A" w:rsidRPr="000B486A">
        <w:rPr>
          <w:rFonts w:ascii="Arial" w:eastAsia="Times New Roman" w:hAnsi="Arial" w:cs="Arial"/>
          <w:sz w:val="24"/>
          <w:szCs w:val="24"/>
          <w:lang w:eastAsia="es-ES"/>
        </w:rPr>
        <w:t xml:space="preserve"> </w:t>
      </w:r>
      <w:r w:rsidR="00CB251E">
        <w:rPr>
          <w:rFonts w:ascii="Arial" w:eastAsia="Times New Roman" w:hAnsi="Arial" w:cs="Arial"/>
          <w:sz w:val="24"/>
          <w:szCs w:val="24"/>
          <w:lang w:eastAsia="es-ES"/>
        </w:rPr>
        <w:t xml:space="preserve">que </w:t>
      </w:r>
      <w:r w:rsidR="000B486A" w:rsidRPr="000B486A">
        <w:rPr>
          <w:rFonts w:ascii="Arial" w:eastAsia="Times New Roman" w:hAnsi="Arial" w:cs="Arial"/>
          <w:sz w:val="24"/>
          <w:szCs w:val="24"/>
          <w:lang w:eastAsia="es-ES"/>
        </w:rPr>
        <w:t>puede</w:t>
      </w:r>
      <w:r w:rsidR="00DC6B35">
        <w:rPr>
          <w:rFonts w:ascii="Arial" w:eastAsia="Times New Roman" w:hAnsi="Arial" w:cs="Arial"/>
          <w:sz w:val="24"/>
          <w:szCs w:val="24"/>
          <w:lang w:eastAsia="es-ES"/>
        </w:rPr>
        <w:t>n</w:t>
      </w:r>
      <w:r w:rsidR="000B486A" w:rsidRPr="000B486A">
        <w:rPr>
          <w:rFonts w:ascii="Arial" w:eastAsia="Times New Roman" w:hAnsi="Arial" w:cs="Arial"/>
          <w:sz w:val="24"/>
          <w:szCs w:val="24"/>
          <w:lang w:eastAsia="es-ES"/>
        </w:rPr>
        <w:t xml:space="preserve"> </w:t>
      </w:r>
      <w:r w:rsidR="00DC6B35">
        <w:rPr>
          <w:rFonts w:ascii="Arial" w:eastAsia="Times New Roman" w:hAnsi="Arial" w:cs="Arial"/>
          <w:sz w:val="24"/>
          <w:szCs w:val="24"/>
          <w:lang w:eastAsia="es-ES"/>
        </w:rPr>
        <w:t xml:space="preserve">desencadenar </w:t>
      </w:r>
      <w:r w:rsidR="000B486A" w:rsidRPr="000B486A">
        <w:rPr>
          <w:rFonts w:ascii="Arial" w:eastAsia="Times New Roman" w:hAnsi="Arial" w:cs="Arial"/>
          <w:sz w:val="24"/>
          <w:szCs w:val="24"/>
          <w:lang w:eastAsia="es-ES"/>
        </w:rPr>
        <w:t>el deseo del retorno.</w:t>
      </w:r>
    </w:p>
    <w:p w:rsidR="000B486A" w:rsidRPr="000B486A" w:rsidRDefault="000B486A" w:rsidP="00077C44">
      <w:pPr>
        <w:suppressAutoHyphens/>
        <w:autoSpaceDN w:val="0"/>
        <w:spacing w:after="0" w:line="240" w:lineRule="auto"/>
        <w:contextualSpacing/>
        <w:jc w:val="both"/>
        <w:textAlignment w:val="baseline"/>
        <w:rPr>
          <w:rFonts w:ascii="Arial" w:eastAsia="Calibri" w:hAnsi="Arial" w:cs="Arial"/>
          <w:sz w:val="24"/>
          <w:szCs w:val="24"/>
        </w:rPr>
      </w:pPr>
      <w:r w:rsidRPr="000B486A">
        <w:rPr>
          <w:rFonts w:ascii="Arial" w:eastAsia="Times New Roman" w:hAnsi="Arial" w:cs="Arial"/>
          <w:sz w:val="24"/>
          <w:szCs w:val="24"/>
          <w:lang w:eastAsia="es-ES"/>
        </w:rPr>
        <w:t xml:space="preserve">Los </w:t>
      </w:r>
      <w:r w:rsidR="00D94169">
        <w:rPr>
          <w:rFonts w:ascii="Arial" w:eastAsia="Times New Roman" w:hAnsi="Arial" w:cs="Arial"/>
          <w:sz w:val="24"/>
          <w:szCs w:val="24"/>
          <w:lang w:eastAsia="es-ES"/>
        </w:rPr>
        <w:t>migrantes</w:t>
      </w:r>
      <w:r w:rsidR="00662D47">
        <w:rPr>
          <w:rFonts w:ascii="Arial" w:eastAsia="Times New Roman" w:hAnsi="Arial" w:cs="Arial"/>
          <w:sz w:val="24"/>
          <w:szCs w:val="24"/>
          <w:lang w:eastAsia="es-ES"/>
        </w:rPr>
        <w:t xml:space="preserve"> también</w:t>
      </w:r>
      <w:r w:rsidRPr="000B486A">
        <w:rPr>
          <w:rFonts w:ascii="Arial" w:eastAsia="Times New Roman" w:hAnsi="Arial" w:cs="Arial"/>
          <w:sz w:val="24"/>
          <w:szCs w:val="24"/>
          <w:lang w:eastAsia="es-ES"/>
        </w:rPr>
        <w:t xml:space="preserve"> pueden</w:t>
      </w:r>
      <w:r w:rsidR="00765669">
        <w:rPr>
          <w:rFonts w:ascii="Arial" w:eastAsia="Times New Roman" w:hAnsi="Arial" w:cs="Arial"/>
          <w:sz w:val="24"/>
          <w:szCs w:val="24"/>
          <w:lang w:eastAsia="es-ES"/>
        </w:rPr>
        <w:t xml:space="preserve"> </w:t>
      </w:r>
      <w:r w:rsidR="000524C7">
        <w:rPr>
          <w:rFonts w:ascii="Arial" w:eastAsia="Times New Roman" w:hAnsi="Arial" w:cs="Arial"/>
          <w:sz w:val="24"/>
          <w:szCs w:val="24"/>
          <w:lang w:eastAsia="es-ES"/>
        </w:rPr>
        <w:t xml:space="preserve">estar afectados por </w:t>
      </w:r>
      <w:r w:rsidRPr="000B486A">
        <w:rPr>
          <w:rFonts w:ascii="Arial" w:eastAsia="Times New Roman" w:hAnsi="Arial" w:cs="Arial"/>
          <w:sz w:val="24"/>
          <w:szCs w:val="24"/>
          <w:lang w:eastAsia="es-ES"/>
        </w:rPr>
        <w:t>exclu</w:t>
      </w:r>
      <w:r w:rsidR="00DC6B35">
        <w:rPr>
          <w:rFonts w:ascii="Arial" w:eastAsia="Times New Roman" w:hAnsi="Arial" w:cs="Arial"/>
          <w:sz w:val="24"/>
          <w:szCs w:val="24"/>
          <w:lang w:eastAsia="es-ES"/>
        </w:rPr>
        <w:t>sión y</w:t>
      </w:r>
      <w:r w:rsidRPr="000B486A">
        <w:rPr>
          <w:rFonts w:ascii="Arial" w:eastAsia="Times New Roman" w:hAnsi="Arial" w:cs="Arial"/>
          <w:sz w:val="24"/>
          <w:szCs w:val="24"/>
          <w:lang w:eastAsia="es-ES"/>
        </w:rPr>
        <w:t xml:space="preserve"> estigmatización, en donde, desde </w:t>
      </w:r>
      <w:r w:rsidR="00D94169">
        <w:rPr>
          <w:rFonts w:ascii="Arial" w:eastAsia="Times New Roman" w:hAnsi="Arial" w:cs="Arial"/>
          <w:sz w:val="24"/>
          <w:szCs w:val="24"/>
          <w:lang w:eastAsia="es-ES"/>
        </w:rPr>
        <w:t xml:space="preserve">la </w:t>
      </w:r>
      <w:r w:rsidRPr="000B486A">
        <w:rPr>
          <w:rFonts w:ascii="Arial" w:eastAsia="Times New Roman" w:hAnsi="Arial" w:cs="Arial"/>
          <w:sz w:val="24"/>
          <w:szCs w:val="24"/>
          <w:lang w:eastAsia="es-ES"/>
        </w:rPr>
        <w:t xml:space="preserve">perspectiva teórica de </w:t>
      </w:r>
      <w:proofErr w:type="spellStart"/>
      <w:r w:rsidRPr="000B486A">
        <w:rPr>
          <w:rFonts w:ascii="Arial" w:eastAsia="Times New Roman" w:hAnsi="Arial" w:cs="Arial"/>
          <w:sz w:val="24"/>
          <w:szCs w:val="24"/>
          <w:lang w:eastAsia="es-ES"/>
        </w:rPr>
        <w:t>Erving</w:t>
      </w:r>
      <w:proofErr w:type="spellEnd"/>
      <w:r w:rsidRPr="000B486A">
        <w:rPr>
          <w:rFonts w:ascii="Arial" w:eastAsia="Times New Roman" w:hAnsi="Arial" w:cs="Arial"/>
          <w:sz w:val="24"/>
          <w:szCs w:val="24"/>
          <w:lang w:eastAsia="es-ES"/>
        </w:rPr>
        <w:t xml:space="preserve"> </w:t>
      </w:r>
      <w:proofErr w:type="spellStart"/>
      <w:r w:rsidRPr="000B486A">
        <w:rPr>
          <w:rFonts w:ascii="Arial" w:eastAsia="Times New Roman" w:hAnsi="Arial" w:cs="Arial"/>
          <w:sz w:val="24"/>
          <w:szCs w:val="24"/>
          <w:lang w:eastAsia="es-ES"/>
        </w:rPr>
        <w:t>Goffman</w:t>
      </w:r>
      <w:proofErr w:type="spellEnd"/>
      <w:r w:rsidRPr="000B486A">
        <w:rPr>
          <w:rFonts w:ascii="Arial" w:eastAsia="Times New Roman" w:hAnsi="Arial" w:cs="Arial"/>
          <w:sz w:val="24"/>
          <w:szCs w:val="24"/>
          <w:lang w:eastAsia="es-ES"/>
        </w:rPr>
        <w:t xml:space="preserve"> (2008), el </w:t>
      </w:r>
      <w:r w:rsidR="00D94169">
        <w:rPr>
          <w:rFonts w:ascii="Arial" w:eastAsia="Times New Roman" w:hAnsi="Arial" w:cs="Arial"/>
          <w:sz w:val="24"/>
          <w:szCs w:val="24"/>
          <w:lang w:eastAsia="es-ES"/>
        </w:rPr>
        <w:t>migrante</w:t>
      </w:r>
      <w:r w:rsidRPr="000B486A">
        <w:rPr>
          <w:rFonts w:ascii="Arial" w:eastAsia="Times New Roman" w:hAnsi="Arial" w:cs="Arial"/>
          <w:sz w:val="24"/>
          <w:szCs w:val="24"/>
          <w:lang w:eastAsia="es-ES"/>
        </w:rPr>
        <w:t xml:space="preserve"> cuando llega a una sociedad se puede enfrentar a una categorización como portador de una serie de atributos diferentes, resultando un extraño, </w:t>
      </w:r>
      <w:proofErr w:type="spellStart"/>
      <w:r w:rsidRPr="000B486A">
        <w:rPr>
          <w:rFonts w:ascii="Arial" w:eastAsia="Times New Roman" w:hAnsi="Arial" w:cs="Arial"/>
          <w:sz w:val="24"/>
          <w:szCs w:val="24"/>
          <w:lang w:eastAsia="es-ES"/>
        </w:rPr>
        <w:t>Goffman</w:t>
      </w:r>
      <w:proofErr w:type="spellEnd"/>
      <w:r w:rsidRPr="000B486A">
        <w:rPr>
          <w:rFonts w:ascii="Arial" w:eastAsia="Times New Roman" w:hAnsi="Arial" w:cs="Arial"/>
          <w:sz w:val="24"/>
          <w:szCs w:val="24"/>
          <w:lang w:eastAsia="es-ES"/>
        </w:rPr>
        <w:t xml:space="preserve"> indica que: “es probable que al encontrarnos frente a un extraño las primeras apariencias nos permitan prever en qué categoría se halla y cuáles son sus atributos, es decir, su “identidad social” (</w:t>
      </w:r>
      <w:proofErr w:type="spellStart"/>
      <w:r w:rsidRPr="000B486A">
        <w:rPr>
          <w:rFonts w:ascii="Arial" w:eastAsia="Times New Roman" w:hAnsi="Arial" w:cs="Arial"/>
          <w:sz w:val="24"/>
          <w:szCs w:val="24"/>
          <w:lang w:eastAsia="es-ES"/>
        </w:rPr>
        <w:t>Goffman</w:t>
      </w:r>
      <w:proofErr w:type="spellEnd"/>
      <w:r w:rsidRPr="000B486A">
        <w:rPr>
          <w:rFonts w:ascii="Arial" w:eastAsia="Times New Roman" w:hAnsi="Arial" w:cs="Arial"/>
          <w:sz w:val="24"/>
          <w:szCs w:val="24"/>
          <w:lang w:eastAsia="es-ES"/>
        </w:rPr>
        <w:t>, 2008:14). Este proceso puede, desde la perspectiva de Charles Taylor (2003), llegar a deformar la identidad de una persona, en donde “El falso reconocimiento o la falta de reconocimiento puede causar daño, puede ser una forma de opresión que aprisione a alguien en un modo de ser falso, deformado y reducido” (Taylor, 2003:43-44).</w:t>
      </w:r>
      <w:r w:rsidRPr="000B486A">
        <w:rPr>
          <w:rFonts w:ascii="Arial" w:eastAsia="Calibri" w:hAnsi="Arial" w:cs="Arial"/>
          <w:sz w:val="24"/>
          <w:szCs w:val="24"/>
        </w:rPr>
        <w:t xml:space="preserve"> </w:t>
      </w:r>
    </w:p>
    <w:p w:rsidR="000524C7" w:rsidRPr="000524C7" w:rsidRDefault="000B486A" w:rsidP="000524C7">
      <w:pPr>
        <w:suppressAutoHyphens/>
        <w:autoSpaceDN w:val="0"/>
        <w:spacing w:after="0" w:line="240" w:lineRule="auto"/>
        <w:contextualSpacing/>
        <w:jc w:val="both"/>
        <w:textAlignment w:val="baseline"/>
        <w:rPr>
          <w:rFonts w:ascii="Arial" w:eastAsia="Times New Roman" w:hAnsi="Arial" w:cs="Arial"/>
          <w:sz w:val="24"/>
          <w:szCs w:val="24"/>
          <w:lang w:eastAsia="es-ES"/>
        </w:rPr>
      </w:pPr>
      <w:proofErr w:type="spellStart"/>
      <w:r w:rsidRPr="000B486A">
        <w:rPr>
          <w:rFonts w:ascii="Arial" w:eastAsia="Times New Roman" w:hAnsi="Arial" w:cs="Arial"/>
          <w:sz w:val="24"/>
          <w:szCs w:val="24"/>
          <w:lang w:eastAsia="es-ES"/>
        </w:rPr>
        <w:t>Goffman</w:t>
      </w:r>
      <w:proofErr w:type="spellEnd"/>
      <w:r w:rsidRPr="000B486A">
        <w:rPr>
          <w:rFonts w:ascii="Arial" w:eastAsia="Times New Roman" w:hAnsi="Arial" w:cs="Arial"/>
          <w:sz w:val="24"/>
          <w:szCs w:val="24"/>
          <w:lang w:eastAsia="es-ES"/>
        </w:rPr>
        <w:t xml:space="preserve"> indica que un sujeto estigmatizado es poseedor de una diferencia, la cual: “lo convierte en alguien menos apetecible – en casos extremos, en una persona casi enteramente malvada, peligrosa o débil –. De ese modo, dejamos de verlo como una persona total y corriente para reducirlo a un ser inficionado y menospreciado” (</w:t>
      </w:r>
      <w:proofErr w:type="spellStart"/>
      <w:r w:rsidRPr="000B486A">
        <w:rPr>
          <w:rFonts w:ascii="Arial" w:eastAsia="Times New Roman" w:hAnsi="Arial" w:cs="Arial"/>
          <w:sz w:val="24"/>
          <w:szCs w:val="24"/>
          <w:lang w:eastAsia="es-ES"/>
        </w:rPr>
        <w:t>Goffman</w:t>
      </w:r>
      <w:proofErr w:type="spellEnd"/>
      <w:r w:rsidRPr="000B486A">
        <w:rPr>
          <w:rFonts w:ascii="Arial" w:eastAsia="Times New Roman" w:hAnsi="Arial" w:cs="Arial"/>
          <w:sz w:val="24"/>
          <w:szCs w:val="24"/>
          <w:lang w:eastAsia="es-ES"/>
        </w:rPr>
        <w:t xml:space="preserve">, 2008:14), </w:t>
      </w:r>
      <w:proofErr w:type="spellStart"/>
      <w:r w:rsidRPr="000B486A">
        <w:rPr>
          <w:rFonts w:ascii="Arial" w:eastAsia="Times New Roman" w:hAnsi="Arial" w:cs="Arial"/>
          <w:sz w:val="24"/>
          <w:szCs w:val="24"/>
          <w:lang w:eastAsia="es-ES"/>
        </w:rPr>
        <w:t>Zygmunt</w:t>
      </w:r>
      <w:proofErr w:type="spellEnd"/>
      <w:r w:rsidRPr="000B486A">
        <w:rPr>
          <w:rFonts w:ascii="Arial" w:eastAsia="Times New Roman" w:hAnsi="Arial" w:cs="Arial"/>
          <w:sz w:val="24"/>
          <w:szCs w:val="24"/>
          <w:lang w:eastAsia="es-ES"/>
        </w:rPr>
        <w:t xml:space="preserve"> </w:t>
      </w:r>
      <w:proofErr w:type="spellStart"/>
      <w:r w:rsidRPr="000B486A">
        <w:rPr>
          <w:rFonts w:ascii="Arial" w:eastAsia="Times New Roman" w:hAnsi="Arial" w:cs="Arial"/>
          <w:sz w:val="24"/>
          <w:szCs w:val="24"/>
          <w:lang w:eastAsia="es-ES"/>
        </w:rPr>
        <w:t>Bauman</w:t>
      </w:r>
      <w:proofErr w:type="spellEnd"/>
      <w:r w:rsidRPr="000B486A">
        <w:rPr>
          <w:rFonts w:ascii="Arial" w:eastAsia="Times New Roman" w:hAnsi="Arial" w:cs="Arial"/>
          <w:sz w:val="24"/>
          <w:szCs w:val="24"/>
          <w:lang w:eastAsia="es-ES"/>
        </w:rPr>
        <w:t xml:space="preserve"> apunta que “Se vuelve cada vez más fácil mezclar la presencia de extraños con los difusos miedos de la inseguridad” (</w:t>
      </w:r>
      <w:proofErr w:type="spellStart"/>
      <w:r w:rsidRPr="000B486A">
        <w:rPr>
          <w:rFonts w:ascii="Arial" w:eastAsia="Times New Roman" w:hAnsi="Arial" w:cs="Arial"/>
          <w:sz w:val="24"/>
          <w:szCs w:val="24"/>
          <w:lang w:eastAsia="es-ES"/>
        </w:rPr>
        <w:t>Bauman</w:t>
      </w:r>
      <w:proofErr w:type="spellEnd"/>
      <w:r w:rsidRPr="000B486A">
        <w:rPr>
          <w:rFonts w:ascii="Arial" w:eastAsia="Times New Roman" w:hAnsi="Arial" w:cs="Arial"/>
          <w:sz w:val="24"/>
          <w:szCs w:val="24"/>
          <w:lang w:eastAsia="es-ES"/>
        </w:rPr>
        <w:t xml:space="preserve">, 2003: 115). </w:t>
      </w:r>
      <w:r w:rsidR="00D94169">
        <w:rPr>
          <w:rFonts w:ascii="Arial" w:eastAsia="Times New Roman" w:hAnsi="Arial" w:cs="Arial"/>
          <w:sz w:val="24"/>
          <w:szCs w:val="24"/>
          <w:lang w:eastAsia="es-ES"/>
        </w:rPr>
        <w:t xml:space="preserve">Consideramos que este </w:t>
      </w:r>
      <w:r w:rsidRPr="000B486A">
        <w:rPr>
          <w:rFonts w:ascii="Arial" w:eastAsia="Times New Roman" w:hAnsi="Arial" w:cs="Arial"/>
          <w:sz w:val="24"/>
          <w:szCs w:val="24"/>
          <w:lang w:eastAsia="es-ES"/>
        </w:rPr>
        <w:t xml:space="preserve">proceso de estigmatización </w:t>
      </w:r>
      <w:r w:rsidR="00DC6B35">
        <w:rPr>
          <w:rFonts w:ascii="Arial" w:eastAsia="Times New Roman" w:hAnsi="Arial" w:cs="Arial"/>
          <w:sz w:val="24"/>
          <w:szCs w:val="24"/>
          <w:lang w:eastAsia="es-ES"/>
        </w:rPr>
        <w:t xml:space="preserve">puede influir en el imaginario </w:t>
      </w:r>
      <w:r w:rsidR="00765669">
        <w:rPr>
          <w:rFonts w:ascii="Arial" w:eastAsia="Times New Roman" w:hAnsi="Arial" w:cs="Arial"/>
          <w:sz w:val="24"/>
          <w:szCs w:val="24"/>
          <w:lang w:eastAsia="es-ES"/>
        </w:rPr>
        <w:t xml:space="preserve">  </w:t>
      </w:r>
      <w:r w:rsidRPr="000B486A">
        <w:rPr>
          <w:rFonts w:ascii="Arial" w:eastAsia="Times New Roman" w:hAnsi="Arial" w:cs="Arial"/>
          <w:sz w:val="24"/>
          <w:szCs w:val="24"/>
          <w:lang w:eastAsia="es-ES"/>
        </w:rPr>
        <w:t>que lleve a que los inmigrantes consideren la opción del retorno como un camino para recobrar la estabilidad y vivir en una cultura de paz.</w:t>
      </w:r>
    </w:p>
    <w:p w:rsidR="00077C44" w:rsidRDefault="00B1120E" w:rsidP="00CB251E">
      <w:pPr>
        <w:spacing w:line="240" w:lineRule="auto"/>
        <w:contextualSpacing/>
        <w:jc w:val="both"/>
        <w:rPr>
          <w:rFonts w:ascii="Arial" w:eastAsia="Times New Roman" w:hAnsi="Arial" w:cs="Arial"/>
          <w:sz w:val="24"/>
          <w:szCs w:val="24"/>
          <w:lang w:eastAsia="es-ES"/>
        </w:rPr>
      </w:pPr>
      <w:r w:rsidRPr="00B1120E">
        <w:rPr>
          <w:rFonts w:ascii="Arial" w:hAnsi="Arial" w:cs="Arial"/>
          <w:sz w:val="24"/>
          <w:szCs w:val="24"/>
        </w:rPr>
        <w:t>Considerando lo anterior</w:t>
      </w:r>
      <w:r>
        <w:rPr>
          <w:rFonts w:ascii="Arial" w:hAnsi="Arial" w:cs="Arial"/>
          <w:sz w:val="24"/>
          <w:szCs w:val="24"/>
        </w:rPr>
        <w:t>,</w:t>
      </w:r>
      <w:r w:rsidRPr="00B1120E">
        <w:rPr>
          <w:rFonts w:ascii="Arial" w:hAnsi="Arial" w:cs="Arial"/>
          <w:sz w:val="24"/>
          <w:szCs w:val="24"/>
        </w:rPr>
        <w:t xml:space="preserve"> </w:t>
      </w:r>
      <w:r w:rsidR="00077C44" w:rsidRPr="000B486A">
        <w:rPr>
          <w:rFonts w:ascii="Arial" w:eastAsia="Times New Roman" w:hAnsi="Arial" w:cs="Arial"/>
          <w:sz w:val="24"/>
          <w:szCs w:val="24"/>
          <w:lang w:eastAsia="es-ES"/>
        </w:rPr>
        <w:t>el retorno</w:t>
      </w:r>
      <w:r w:rsidR="00662D47">
        <w:rPr>
          <w:rFonts w:ascii="Arial" w:eastAsia="Times New Roman" w:hAnsi="Arial" w:cs="Arial"/>
          <w:sz w:val="24"/>
          <w:szCs w:val="24"/>
          <w:lang w:eastAsia="es-ES"/>
        </w:rPr>
        <w:t xml:space="preserve"> puede presentar </w:t>
      </w:r>
      <w:r w:rsidR="000524C7">
        <w:rPr>
          <w:rFonts w:ascii="Arial" w:eastAsia="Times New Roman" w:hAnsi="Arial" w:cs="Arial"/>
          <w:sz w:val="24"/>
          <w:szCs w:val="24"/>
          <w:lang w:eastAsia="es-ES"/>
        </w:rPr>
        <w:t>diversas</w:t>
      </w:r>
      <w:r w:rsidR="003002B9">
        <w:rPr>
          <w:rFonts w:ascii="Arial" w:eastAsia="Times New Roman" w:hAnsi="Arial" w:cs="Arial"/>
          <w:sz w:val="24"/>
          <w:szCs w:val="24"/>
          <w:lang w:eastAsia="es-ES"/>
        </w:rPr>
        <w:t xml:space="preserve"> condiciones que lo activan,</w:t>
      </w:r>
      <w:r w:rsidR="00662D47">
        <w:rPr>
          <w:rFonts w:ascii="Arial" w:eastAsia="Times New Roman" w:hAnsi="Arial" w:cs="Arial"/>
          <w:sz w:val="24"/>
          <w:szCs w:val="24"/>
          <w:lang w:eastAsia="es-ES"/>
        </w:rPr>
        <w:t xml:space="preserve"> en donde los imaginarios migratorios ya sea del proceso o de sus protagonistas, puede contener</w:t>
      </w:r>
      <w:r w:rsidR="003002B9">
        <w:rPr>
          <w:rFonts w:ascii="Arial" w:eastAsia="Times New Roman" w:hAnsi="Arial" w:cs="Arial"/>
          <w:sz w:val="24"/>
          <w:szCs w:val="24"/>
          <w:lang w:eastAsia="es-ES"/>
        </w:rPr>
        <w:t xml:space="preserve"> </w:t>
      </w:r>
      <w:r w:rsidRPr="00B1120E">
        <w:rPr>
          <w:rFonts w:ascii="Arial" w:eastAsia="Times New Roman" w:hAnsi="Arial" w:cs="Arial"/>
          <w:sz w:val="24"/>
          <w:szCs w:val="24"/>
          <w:lang w:eastAsia="es-ES"/>
        </w:rPr>
        <w:t>significado</w:t>
      </w:r>
      <w:r w:rsidR="003002B9">
        <w:rPr>
          <w:rFonts w:ascii="Arial" w:eastAsia="Times New Roman" w:hAnsi="Arial" w:cs="Arial"/>
          <w:sz w:val="24"/>
          <w:szCs w:val="24"/>
          <w:lang w:eastAsia="es-ES"/>
        </w:rPr>
        <w:t xml:space="preserve">s </w:t>
      </w:r>
      <w:r w:rsidRPr="00B1120E">
        <w:rPr>
          <w:rFonts w:ascii="Arial" w:eastAsia="Times New Roman" w:hAnsi="Arial" w:cs="Arial"/>
          <w:sz w:val="24"/>
          <w:szCs w:val="24"/>
          <w:lang w:eastAsia="es-ES"/>
        </w:rPr>
        <w:t>que</w:t>
      </w:r>
      <w:r w:rsidR="00CB251E">
        <w:rPr>
          <w:rFonts w:ascii="Arial" w:eastAsia="Times New Roman" w:hAnsi="Arial" w:cs="Arial"/>
          <w:sz w:val="24"/>
          <w:szCs w:val="24"/>
          <w:lang w:eastAsia="es-ES"/>
        </w:rPr>
        <w:t xml:space="preserve"> se</w:t>
      </w:r>
      <w:r w:rsidRPr="00B1120E">
        <w:rPr>
          <w:rFonts w:ascii="Arial" w:eastAsia="Times New Roman" w:hAnsi="Arial" w:cs="Arial"/>
          <w:sz w:val="24"/>
          <w:szCs w:val="24"/>
          <w:lang w:eastAsia="es-ES"/>
        </w:rPr>
        <w:t xml:space="preserve"> irá</w:t>
      </w:r>
      <w:r w:rsidR="003002B9">
        <w:rPr>
          <w:rFonts w:ascii="Arial" w:eastAsia="Times New Roman" w:hAnsi="Arial" w:cs="Arial"/>
          <w:sz w:val="24"/>
          <w:szCs w:val="24"/>
          <w:lang w:eastAsia="es-ES"/>
        </w:rPr>
        <w:t>n</w:t>
      </w:r>
      <w:r w:rsidRPr="00B1120E">
        <w:rPr>
          <w:rFonts w:ascii="Arial" w:eastAsia="Times New Roman" w:hAnsi="Arial" w:cs="Arial"/>
          <w:sz w:val="24"/>
          <w:szCs w:val="24"/>
          <w:lang w:eastAsia="es-ES"/>
        </w:rPr>
        <w:t xml:space="preserve"> </w:t>
      </w:r>
      <w:r w:rsidR="00CB251E">
        <w:rPr>
          <w:rFonts w:ascii="Arial" w:eastAsia="Times New Roman" w:hAnsi="Arial" w:cs="Arial"/>
          <w:sz w:val="24"/>
          <w:szCs w:val="24"/>
          <w:lang w:eastAsia="es-ES"/>
        </w:rPr>
        <w:t xml:space="preserve">identificando, organizando y </w:t>
      </w:r>
      <w:r w:rsidRPr="00B1120E">
        <w:rPr>
          <w:rFonts w:ascii="Arial" w:eastAsia="Times New Roman" w:hAnsi="Arial" w:cs="Arial"/>
          <w:sz w:val="24"/>
          <w:szCs w:val="24"/>
          <w:lang w:eastAsia="es-ES"/>
        </w:rPr>
        <w:t xml:space="preserve">adquiriendo forma en el transcurso de nuestra investigación, dado que como indica Castaño y Morales: “es posible plantear que las construcciones que se han hecho </w:t>
      </w:r>
      <w:r w:rsidRPr="00B1120E">
        <w:rPr>
          <w:rFonts w:ascii="Arial" w:eastAsia="Times New Roman" w:hAnsi="Arial" w:cs="Arial"/>
          <w:sz w:val="24"/>
          <w:szCs w:val="24"/>
          <w:lang w:eastAsia="es-ES"/>
        </w:rPr>
        <w:lastRenderedPageBreak/>
        <w:t>sobre los conceptos de migración y retorno presentan una variedad de posturas, producto del tratamiento que se ha dado a la información, los intereses que han perseguido, las posturas epistemológicas desde los que han sido construido o la conservación de modelos teóricos utilizados para comprender este objeto de estudio” (Castaño y Morales, 2015:98). De esta forma el resultado estará anclado a la realidad del contexto colombiano</w:t>
      </w:r>
      <w:r w:rsidR="00662D47">
        <w:rPr>
          <w:rFonts w:ascii="Arial" w:eastAsia="Times New Roman" w:hAnsi="Arial" w:cs="Arial"/>
          <w:sz w:val="24"/>
          <w:szCs w:val="24"/>
          <w:lang w:eastAsia="es-ES"/>
        </w:rPr>
        <w:t xml:space="preserve"> y el vínculo con los refugiados en Ecuador, </w:t>
      </w:r>
      <w:r w:rsidRPr="00B1120E">
        <w:rPr>
          <w:rFonts w:ascii="Arial" w:eastAsia="Times New Roman" w:hAnsi="Arial" w:cs="Arial"/>
          <w:sz w:val="24"/>
          <w:szCs w:val="24"/>
          <w:lang w:eastAsia="es-ES"/>
        </w:rPr>
        <w:t xml:space="preserve"> complementado con una búsqueda de marcos conceptuales que puedan ser útiles para la interpretación de los datos resultantes.</w:t>
      </w:r>
    </w:p>
    <w:p w:rsidR="000524C7" w:rsidRPr="000524C7" w:rsidRDefault="00F0132E" w:rsidP="00CB251E">
      <w:pPr>
        <w:spacing w:line="240" w:lineRule="auto"/>
        <w:contextualSpacing/>
        <w:jc w:val="both"/>
        <w:rPr>
          <w:rFonts w:ascii="Arial" w:eastAsia="Times New Roman" w:hAnsi="Arial" w:cs="Arial"/>
          <w:sz w:val="24"/>
          <w:szCs w:val="24"/>
          <w:lang w:eastAsia="es-ES"/>
        </w:rPr>
      </w:pPr>
      <w:r>
        <w:rPr>
          <w:rFonts w:ascii="Arial" w:eastAsia="Times New Roman" w:hAnsi="Arial" w:cs="Arial"/>
          <w:sz w:val="24"/>
          <w:szCs w:val="24"/>
          <w:lang w:eastAsia="es-ES"/>
        </w:rPr>
        <w:t>Es de central</w:t>
      </w:r>
      <w:r w:rsidR="000524C7" w:rsidRPr="000524C7">
        <w:rPr>
          <w:rFonts w:ascii="Arial" w:eastAsia="Times New Roman" w:hAnsi="Arial" w:cs="Arial"/>
          <w:sz w:val="24"/>
          <w:szCs w:val="24"/>
          <w:lang w:eastAsia="es-ES"/>
        </w:rPr>
        <w:t xml:space="preserve"> importancia</w:t>
      </w:r>
      <w:r w:rsidR="00CB251E">
        <w:rPr>
          <w:rFonts w:ascii="Arial" w:eastAsia="Times New Roman" w:hAnsi="Arial" w:cs="Arial"/>
          <w:sz w:val="24"/>
          <w:szCs w:val="24"/>
          <w:lang w:eastAsia="es-ES"/>
        </w:rPr>
        <w:t xml:space="preserve"> para nuestra investigación</w:t>
      </w:r>
      <w:r w:rsidR="000524C7" w:rsidRPr="000524C7">
        <w:rPr>
          <w:rFonts w:ascii="Arial" w:eastAsia="Times New Roman" w:hAnsi="Arial" w:cs="Arial"/>
          <w:sz w:val="24"/>
          <w:szCs w:val="24"/>
          <w:lang w:eastAsia="es-ES"/>
        </w:rPr>
        <w:t xml:space="preserve"> el</w:t>
      </w:r>
      <w:r w:rsidR="00662D47">
        <w:rPr>
          <w:rFonts w:ascii="Arial" w:eastAsia="Times New Roman" w:hAnsi="Arial" w:cs="Arial"/>
          <w:sz w:val="24"/>
          <w:szCs w:val="24"/>
          <w:lang w:eastAsia="es-ES"/>
        </w:rPr>
        <w:t xml:space="preserve"> tema del</w:t>
      </w:r>
      <w:r w:rsidR="000524C7" w:rsidRPr="000524C7">
        <w:rPr>
          <w:rFonts w:ascii="Arial" w:eastAsia="Times New Roman" w:hAnsi="Arial" w:cs="Arial"/>
          <w:sz w:val="24"/>
          <w:szCs w:val="24"/>
          <w:lang w:eastAsia="es-ES"/>
        </w:rPr>
        <w:t xml:space="preserve"> </w:t>
      </w:r>
      <w:proofErr w:type="spellStart"/>
      <w:r w:rsidR="000524C7" w:rsidRPr="000524C7">
        <w:rPr>
          <w:rFonts w:ascii="Arial" w:eastAsia="Times New Roman" w:hAnsi="Arial" w:cs="Arial"/>
          <w:sz w:val="24"/>
          <w:szCs w:val="24"/>
          <w:lang w:eastAsia="es-ES"/>
        </w:rPr>
        <w:t>postconficto</w:t>
      </w:r>
      <w:proofErr w:type="spellEnd"/>
      <w:r w:rsidR="000524C7" w:rsidRPr="000524C7">
        <w:rPr>
          <w:rFonts w:ascii="Arial" w:eastAsia="Times New Roman" w:hAnsi="Arial" w:cs="Arial"/>
          <w:sz w:val="24"/>
          <w:szCs w:val="24"/>
          <w:lang w:eastAsia="es-ES"/>
        </w:rPr>
        <w:t xml:space="preserve">, el cual está siendo pensado desde diferentes perspectivas y ámbitos, al respecto </w:t>
      </w:r>
      <w:proofErr w:type="spellStart"/>
      <w:r w:rsidR="000524C7" w:rsidRPr="000524C7">
        <w:rPr>
          <w:rFonts w:ascii="Arial" w:eastAsia="Times New Roman" w:hAnsi="Arial" w:cs="Arial"/>
          <w:sz w:val="24"/>
          <w:szCs w:val="24"/>
          <w:lang w:eastAsia="es-ES"/>
        </w:rPr>
        <w:t>Angélika</w:t>
      </w:r>
      <w:proofErr w:type="spellEnd"/>
      <w:r w:rsidR="000524C7" w:rsidRPr="000524C7">
        <w:rPr>
          <w:rFonts w:ascii="Arial" w:eastAsia="Times New Roman" w:hAnsi="Arial" w:cs="Arial"/>
          <w:sz w:val="24"/>
          <w:szCs w:val="24"/>
          <w:lang w:eastAsia="es-ES"/>
        </w:rPr>
        <w:t xml:space="preserve"> </w:t>
      </w:r>
      <w:proofErr w:type="spellStart"/>
      <w:r w:rsidR="000524C7" w:rsidRPr="000524C7">
        <w:rPr>
          <w:rFonts w:ascii="Arial" w:eastAsia="Times New Roman" w:hAnsi="Arial" w:cs="Arial"/>
          <w:sz w:val="24"/>
          <w:szCs w:val="24"/>
          <w:lang w:eastAsia="es-ES"/>
        </w:rPr>
        <w:t>Rettberg</w:t>
      </w:r>
      <w:proofErr w:type="spellEnd"/>
      <w:r w:rsidR="000524C7" w:rsidRPr="000524C7">
        <w:rPr>
          <w:rFonts w:ascii="Arial" w:eastAsia="Times New Roman" w:hAnsi="Arial" w:cs="Arial"/>
          <w:sz w:val="24"/>
          <w:szCs w:val="24"/>
          <w:lang w:eastAsia="es-ES"/>
        </w:rPr>
        <w:t xml:space="preserve"> postula que independiente del momento que viva el conflicto “una vasta experiencia internacional enseña que anticipar los temas de los que una sociedad tendrá que ocuparse en el post-conflicto presiona y precipita el fin del conflicto y sienta las bases para una paz duradera” (</w:t>
      </w:r>
      <w:proofErr w:type="spellStart"/>
      <w:r w:rsidR="000524C7" w:rsidRPr="000524C7">
        <w:rPr>
          <w:rFonts w:ascii="Arial" w:eastAsia="Times New Roman" w:hAnsi="Arial" w:cs="Arial"/>
          <w:sz w:val="24"/>
          <w:szCs w:val="24"/>
          <w:lang w:eastAsia="es-ES"/>
        </w:rPr>
        <w:t>Rettberg</w:t>
      </w:r>
      <w:proofErr w:type="spellEnd"/>
      <w:r w:rsidR="000524C7" w:rsidRPr="000524C7">
        <w:rPr>
          <w:rFonts w:ascii="Arial" w:eastAsia="Times New Roman" w:hAnsi="Arial" w:cs="Arial"/>
          <w:sz w:val="24"/>
          <w:szCs w:val="24"/>
          <w:lang w:eastAsia="es-ES"/>
        </w:rPr>
        <w:t>, 2002:18). La importancia de este ejercicio es incuestionable y más reconociendo que nunca antes en la historia del país se había logrado avances como los que representan los tres preacuerdos ya firmados por el Gobierno Colombiano y las FARC-EP en la Habana.</w:t>
      </w:r>
    </w:p>
    <w:p w:rsidR="000524C7" w:rsidRPr="000524C7" w:rsidRDefault="000524C7" w:rsidP="00CB251E">
      <w:pPr>
        <w:spacing w:line="240" w:lineRule="auto"/>
        <w:contextualSpacing/>
        <w:jc w:val="both"/>
        <w:rPr>
          <w:rFonts w:ascii="Arial" w:eastAsia="Times New Roman" w:hAnsi="Arial" w:cs="Arial"/>
          <w:sz w:val="24"/>
          <w:szCs w:val="24"/>
          <w:lang w:eastAsia="es-ES"/>
        </w:rPr>
      </w:pPr>
      <w:r w:rsidRPr="000524C7">
        <w:rPr>
          <w:rFonts w:ascii="Arial" w:eastAsia="Times New Roman" w:hAnsi="Arial" w:cs="Arial"/>
          <w:sz w:val="24"/>
          <w:szCs w:val="24"/>
          <w:lang w:eastAsia="es-ES"/>
        </w:rPr>
        <w:t xml:space="preserve">Vinculado al concepto de posconflicto está el de reconciliación, al respecto Carlos Martín </w:t>
      </w:r>
      <w:proofErr w:type="spellStart"/>
      <w:r w:rsidRPr="000524C7">
        <w:rPr>
          <w:rFonts w:ascii="Arial" w:eastAsia="Times New Roman" w:hAnsi="Arial" w:cs="Arial"/>
          <w:sz w:val="24"/>
          <w:szCs w:val="24"/>
          <w:lang w:eastAsia="es-ES"/>
        </w:rPr>
        <w:t>Beristain</w:t>
      </w:r>
      <w:proofErr w:type="spellEnd"/>
      <w:r w:rsidRPr="000524C7">
        <w:rPr>
          <w:rFonts w:ascii="Arial" w:eastAsia="Times New Roman" w:hAnsi="Arial" w:cs="Arial"/>
          <w:sz w:val="24"/>
          <w:szCs w:val="24"/>
          <w:lang w:eastAsia="es-ES"/>
        </w:rPr>
        <w:t xml:space="preserve"> (2005) se refiere al creciente interés que la reconciliación posterior a conflictos violentos ha adquirido en diferentes lugares del mundo. Indica que es un concepto cuyo contenido, en la mayoría de los casos, hace referencia a “cuestiones genéricas como la posibilidad de rescatar la convivencia entre grupos enfrentados, reconstruir el tejido social y organizativo fracturado, y el establecimiento de un nuevo consenso social después de enfrentamientos armados” (</w:t>
      </w:r>
      <w:proofErr w:type="spellStart"/>
      <w:r w:rsidRPr="000524C7">
        <w:rPr>
          <w:rFonts w:ascii="Arial" w:eastAsia="Times New Roman" w:hAnsi="Arial" w:cs="Arial"/>
          <w:sz w:val="24"/>
          <w:szCs w:val="24"/>
          <w:lang w:eastAsia="es-ES"/>
        </w:rPr>
        <w:t>Beristain</w:t>
      </w:r>
      <w:proofErr w:type="spellEnd"/>
      <w:r w:rsidRPr="000524C7">
        <w:rPr>
          <w:rFonts w:ascii="Arial" w:eastAsia="Times New Roman" w:hAnsi="Arial" w:cs="Arial"/>
          <w:sz w:val="24"/>
          <w:szCs w:val="24"/>
          <w:lang w:eastAsia="es-ES"/>
        </w:rPr>
        <w:t xml:space="preserve">, 2005:15). Desde su perspectiva, la reconciliación refuerza la democracia al procurar una recuperación de las relaciones necesarias para la implementación de cambios. </w:t>
      </w:r>
    </w:p>
    <w:p w:rsidR="000524C7" w:rsidRDefault="000524C7" w:rsidP="00CB251E">
      <w:pPr>
        <w:spacing w:line="240" w:lineRule="auto"/>
        <w:contextualSpacing/>
        <w:jc w:val="both"/>
        <w:rPr>
          <w:rFonts w:ascii="Arial" w:eastAsia="Times New Roman" w:hAnsi="Arial" w:cs="Arial"/>
          <w:sz w:val="24"/>
          <w:szCs w:val="24"/>
          <w:lang w:eastAsia="es-ES"/>
        </w:rPr>
      </w:pPr>
      <w:r w:rsidRPr="000524C7">
        <w:rPr>
          <w:rFonts w:ascii="Arial" w:eastAsia="Times New Roman" w:hAnsi="Arial" w:cs="Arial"/>
          <w:sz w:val="24"/>
          <w:szCs w:val="24"/>
          <w:lang w:eastAsia="es-ES"/>
        </w:rPr>
        <w:t xml:space="preserve">Serán muchos los elementos que los refugiados y las políticas deban plantear en cuanto la comprensión del postconflicto, la instauración y sustentabilidad de la paz. </w:t>
      </w:r>
    </w:p>
    <w:p w:rsidR="000524C7" w:rsidRPr="000524C7" w:rsidRDefault="000524C7" w:rsidP="00CB251E">
      <w:pPr>
        <w:spacing w:line="240" w:lineRule="auto"/>
        <w:contextualSpacing/>
        <w:jc w:val="both"/>
        <w:rPr>
          <w:rFonts w:ascii="Arial" w:eastAsia="Times New Roman" w:hAnsi="Arial" w:cs="Arial"/>
          <w:sz w:val="24"/>
          <w:szCs w:val="24"/>
          <w:lang w:eastAsia="es-ES"/>
        </w:rPr>
      </w:pPr>
      <w:r w:rsidRPr="000524C7">
        <w:rPr>
          <w:rFonts w:ascii="Arial" w:eastAsia="Times New Roman" w:hAnsi="Arial" w:cs="Arial"/>
          <w:sz w:val="24"/>
          <w:szCs w:val="24"/>
          <w:lang w:eastAsia="es-ES"/>
        </w:rPr>
        <w:t>Esta propuesta de investigación reconoce la importancia y necesidad de los procesos de previsión y planeación para y dentro del post-conflicto. Se entiende que son indispensables para la construcción de la paz estable y sostenible en Colombia. De igual forma, se reconocen sus dimensiones, en especial la social, que implica imaginar un país en el que sea posible reconstruir las relaciones de los grupos involucrados en el conflicto, reintegrar a los sectores excluidos y marginados y reconocer principalmente a las víctimas.</w:t>
      </w:r>
    </w:p>
    <w:p w:rsidR="000524C7" w:rsidRDefault="000524C7" w:rsidP="00CB251E">
      <w:pPr>
        <w:spacing w:line="240" w:lineRule="auto"/>
        <w:contextualSpacing/>
        <w:jc w:val="both"/>
        <w:rPr>
          <w:rFonts w:ascii="Arial" w:hAnsi="Arial" w:cs="Arial"/>
          <w:sz w:val="24"/>
          <w:szCs w:val="24"/>
        </w:rPr>
      </w:pPr>
      <w:r w:rsidRPr="00077C44">
        <w:rPr>
          <w:rFonts w:ascii="Arial" w:hAnsi="Arial" w:cs="Arial"/>
          <w:sz w:val="24"/>
          <w:szCs w:val="24"/>
        </w:rPr>
        <w:t>En este sentido será necesario localizar aquellas relevancias de significado, con las cuales se empieza a configurar el imaginario en torno al emigrante retornado en la legislación colombiana. Para ello, nos centraremos en el análisis de la Ley 1565 del 31 de julio de 2012, por la cual se dictan disposiciones y se fijan incentivos para el retorno de los colombianos residentes en el extranjero</w:t>
      </w:r>
    </w:p>
    <w:p w:rsidR="000B486A" w:rsidRPr="00077C44" w:rsidRDefault="000B486A" w:rsidP="00077C44">
      <w:pPr>
        <w:spacing w:line="240" w:lineRule="auto"/>
        <w:rPr>
          <w:rFonts w:ascii="Arial" w:hAnsi="Arial" w:cs="Arial"/>
          <w:b/>
          <w:sz w:val="24"/>
          <w:szCs w:val="24"/>
        </w:rPr>
      </w:pPr>
    </w:p>
    <w:p w:rsidR="001A0A35" w:rsidRDefault="001A0A35" w:rsidP="00077C44">
      <w:pPr>
        <w:spacing w:line="240" w:lineRule="auto"/>
        <w:rPr>
          <w:rFonts w:ascii="Arial" w:hAnsi="Arial" w:cs="Arial"/>
          <w:b/>
          <w:sz w:val="24"/>
          <w:szCs w:val="24"/>
        </w:rPr>
      </w:pPr>
      <w:r w:rsidRPr="00077C44">
        <w:rPr>
          <w:rFonts w:ascii="Arial" w:hAnsi="Arial" w:cs="Arial"/>
          <w:b/>
          <w:sz w:val="24"/>
          <w:szCs w:val="24"/>
        </w:rPr>
        <w:t>Las políticas</w:t>
      </w:r>
      <w:r w:rsidR="00CB251E">
        <w:rPr>
          <w:rFonts w:ascii="Arial" w:hAnsi="Arial" w:cs="Arial"/>
          <w:b/>
          <w:sz w:val="24"/>
          <w:szCs w:val="24"/>
        </w:rPr>
        <w:t xml:space="preserve"> migratorias y</w:t>
      </w:r>
      <w:r w:rsidRPr="00077C44">
        <w:rPr>
          <w:rFonts w:ascii="Arial" w:hAnsi="Arial" w:cs="Arial"/>
          <w:b/>
          <w:sz w:val="24"/>
          <w:szCs w:val="24"/>
        </w:rPr>
        <w:t xml:space="preserve"> del retorno</w:t>
      </w:r>
      <w:r w:rsidR="00DD2E0D" w:rsidRPr="00077C44">
        <w:rPr>
          <w:rFonts w:ascii="Arial" w:hAnsi="Arial" w:cs="Arial"/>
          <w:b/>
          <w:sz w:val="24"/>
          <w:szCs w:val="24"/>
        </w:rPr>
        <w:t xml:space="preserve"> en Colombia</w:t>
      </w:r>
      <w:r w:rsidRPr="00077C44">
        <w:rPr>
          <w:rFonts w:ascii="Arial" w:hAnsi="Arial" w:cs="Arial"/>
          <w:b/>
          <w:sz w:val="24"/>
          <w:szCs w:val="24"/>
        </w:rPr>
        <w:t xml:space="preserve"> </w:t>
      </w:r>
    </w:p>
    <w:p w:rsidR="007E3673" w:rsidRPr="007E3673" w:rsidRDefault="007E3673" w:rsidP="007E3673">
      <w:pPr>
        <w:spacing w:line="240" w:lineRule="auto"/>
        <w:jc w:val="both"/>
        <w:rPr>
          <w:rFonts w:ascii="Arial" w:hAnsi="Arial" w:cs="Arial"/>
          <w:sz w:val="24"/>
          <w:szCs w:val="24"/>
          <w:lang w:val="es-CO"/>
        </w:rPr>
      </w:pPr>
      <w:r w:rsidRPr="007E3673">
        <w:rPr>
          <w:rFonts w:ascii="Arial" w:hAnsi="Arial" w:cs="Arial"/>
          <w:sz w:val="24"/>
          <w:szCs w:val="24"/>
          <w:lang w:val="es-CO"/>
        </w:rPr>
        <w:t xml:space="preserve">La Constitución Política de 1991 establece algunos principios y responsabilidades que le corresponden al Estado </w:t>
      </w:r>
      <w:bookmarkStart w:id="0" w:name="_GoBack"/>
      <w:bookmarkEnd w:id="0"/>
      <w:r w:rsidRPr="007E3673">
        <w:rPr>
          <w:rFonts w:ascii="Arial" w:hAnsi="Arial" w:cs="Arial"/>
          <w:sz w:val="24"/>
          <w:szCs w:val="24"/>
          <w:lang w:val="es-CO"/>
        </w:rPr>
        <w:t xml:space="preserve">colombiano en materia de política exterior y </w:t>
      </w:r>
      <w:r w:rsidRPr="007E3673">
        <w:rPr>
          <w:rFonts w:ascii="Arial" w:hAnsi="Arial" w:cs="Arial"/>
          <w:sz w:val="24"/>
          <w:szCs w:val="24"/>
          <w:lang w:val="es-CO"/>
        </w:rPr>
        <w:lastRenderedPageBreak/>
        <w:t xml:space="preserve">migratoria, entre las cuales cabe mencionar: el respeto a la soberanía nacional y a la autodeterminación de los pueblos (artículo 9); el derecho ciudadano a la libre circulación por el territorio nacional, así como a entrar y salir de él (artículo 24); el respeto a los tratados y convenios internacionales ratificados por el Congreso (artículo 93); el derecho a la nacionalidad colombiana por nacimiento o adopción (artículo 96); los derechos de los extranjeros residentes en el país (artículo 100); las funciones del presidente de la República en cuanto al direccionamiento de las relaciones internacionales (artículo 189); entre otras. </w:t>
      </w:r>
    </w:p>
    <w:p w:rsidR="007E3673" w:rsidRPr="007E3673" w:rsidRDefault="007E3673" w:rsidP="007E3673">
      <w:pPr>
        <w:spacing w:line="240" w:lineRule="auto"/>
        <w:jc w:val="both"/>
        <w:rPr>
          <w:rFonts w:ascii="Arial" w:hAnsi="Arial" w:cs="Arial"/>
          <w:sz w:val="24"/>
          <w:szCs w:val="24"/>
          <w:lang w:val="es-CO"/>
        </w:rPr>
      </w:pPr>
      <w:r w:rsidRPr="007E3673">
        <w:rPr>
          <w:rFonts w:ascii="Arial" w:hAnsi="Arial" w:cs="Arial"/>
          <w:sz w:val="24"/>
          <w:szCs w:val="24"/>
          <w:lang w:val="es-CO"/>
        </w:rPr>
        <w:t xml:space="preserve">Así las cosas, el Ministerio de Relaciones Exteriores, bajo de la dirección del Presidente de la República, se constituye como el principal organismo encargado de formular, planear, coordinar, ejecutar y evaluar la política exterior de Colombia, las relaciones internacionales y administrar el servicio exterior de la República; ello en coordinación con otras entidades del Estado como el Ministerio de Educación, Ministerio del Interior, DANE, SENA, entre otras.    </w:t>
      </w:r>
    </w:p>
    <w:p w:rsidR="007E3673" w:rsidRPr="007E3673" w:rsidRDefault="007E3673" w:rsidP="007E3673">
      <w:pPr>
        <w:spacing w:line="240" w:lineRule="auto"/>
        <w:jc w:val="both"/>
        <w:rPr>
          <w:rFonts w:ascii="Arial" w:hAnsi="Arial" w:cs="Arial"/>
          <w:sz w:val="24"/>
          <w:szCs w:val="24"/>
          <w:lang w:val="es-CO"/>
        </w:rPr>
      </w:pPr>
      <w:r w:rsidRPr="007E3673">
        <w:rPr>
          <w:rFonts w:ascii="Arial" w:hAnsi="Arial" w:cs="Arial"/>
          <w:sz w:val="24"/>
          <w:szCs w:val="24"/>
          <w:lang w:val="es-CO"/>
        </w:rPr>
        <w:t xml:space="preserve">De acuerdo con el Ministerio de Relaciones Exteriores (s.f.), la política integral migratoria en Colombia tiene dos antecedentes: en primer lugar, el </w:t>
      </w:r>
      <w:r w:rsidRPr="007E3673">
        <w:rPr>
          <w:rFonts w:ascii="Arial" w:hAnsi="Arial" w:cs="Arial"/>
          <w:i/>
          <w:sz w:val="24"/>
          <w:szCs w:val="24"/>
          <w:lang w:val="es-CO"/>
        </w:rPr>
        <w:t>Documento Visión Colombia 2019</w:t>
      </w:r>
      <w:r w:rsidRPr="007E3673">
        <w:rPr>
          <w:rFonts w:ascii="Arial" w:hAnsi="Arial" w:cs="Arial"/>
          <w:sz w:val="24"/>
          <w:szCs w:val="24"/>
          <w:lang w:val="es-CO"/>
        </w:rPr>
        <w:t xml:space="preserve">, que alude a la “necesidad de diseñar una política exterior acorde con un mundo en transformación; y reconoce la importancia de reforzar los vínculos con los colombianos en el exterior y favorecer sus aportes al desarrollo de la nación”; y el Plan de Desarrollo 2010- 2014 “Prosperidad para Todos”, que señala la responsabilidad del Ministerio de Relaciones Exteriores en el afianzamiento de dicha política bajo el principio de coherencia en el trato a los migrantes nacionales o extranjeros, priorizando la temática migratoria en todas las entidades estatales y promoviendo el trabajo interinstitucional que garantice un impacto social.  </w:t>
      </w:r>
    </w:p>
    <w:p w:rsidR="007E3673" w:rsidRPr="007E3673" w:rsidRDefault="007E3673" w:rsidP="007E3673">
      <w:pPr>
        <w:spacing w:line="240" w:lineRule="auto"/>
        <w:jc w:val="both"/>
        <w:rPr>
          <w:rFonts w:ascii="Arial" w:hAnsi="Arial" w:cs="Arial"/>
          <w:sz w:val="24"/>
          <w:szCs w:val="24"/>
          <w:lang w:val="es-CO"/>
        </w:rPr>
      </w:pPr>
      <w:r w:rsidRPr="007E3673">
        <w:rPr>
          <w:rFonts w:ascii="Arial" w:hAnsi="Arial" w:cs="Arial"/>
          <w:sz w:val="24"/>
          <w:szCs w:val="24"/>
          <w:lang w:val="es-CO"/>
        </w:rPr>
        <w:t xml:space="preserve">En este contexto se construyó el Documento </w:t>
      </w:r>
      <w:proofErr w:type="spellStart"/>
      <w:r w:rsidRPr="007E3673">
        <w:rPr>
          <w:rFonts w:ascii="Arial" w:hAnsi="Arial" w:cs="Arial"/>
          <w:sz w:val="24"/>
          <w:szCs w:val="24"/>
          <w:lang w:val="es-CO"/>
        </w:rPr>
        <w:t>Conpes</w:t>
      </w:r>
      <w:proofErr w:type="spellEnd"/>
      <w:r w:rsidRPr="007E3673">
        <w:rPr>
          <w:rFonts w:ascii="Arial" w:hAnsi="Arial" w:cs="Arial"/>
          <w:sz w:val="24"/>
          <w:szCs w:val="24"/>
          <w:lang w:val="es-CO"/>
        </w:rPr>
        <w:t xml:space="preserve"> 3603 de 2009, mediante el cual se somete a consideración del Consejo Nacional de Política Económica y Social (</w:t>
      </w:r>
      <w:proofErr w:type="spellStart"/>
      <w:r w:rsidRPr="007E3673">
        <w:rPr>
          <w:rFonts w:ascii="Arial" w:hAnsi="Arial" w:cs="Arial"/>
          <w:sz w:val="24"/>
          <w:szCs w:val="24"/>
          <w:lang w:val="es-CO"/>
        </w:rPr>
        <w:t>Conpes</w:t>
      </w:r>
      <w:proofErr w:type="spellEnd"/>
      <w:r w:rsidRPr="007E3673">
        <w:rPr>
          <w:rFonts w:ascii="Arial" w:hAnsi="Arial" w:cs="Arial"/>
          <w:sz w:val="24"/>
          <w:szCs w:val="24"/>
          <w:lang w:val="es-CO"/>
        </w:rPr>
        <w:t>), la Política Integral Migratoria – PIM- del Gobierno Nacional. Esta política integra los lineamientos, estrategias y programas orientados al desarrollo de los colombianos que viven en el exterior y los colombianos que viven en el país. La política persigue los siguientes objetivos a largo plazo:   </w:t>
      </w:r>
    </w:p>
    <w:p w:rsidR="0003556E" w:rsidRPr="007E3673" w:rsidRDefault="00033E12" w:rsidP="007E3673">
      <w:pPr>
        <w:numPr>
          <w:ilvl w:val="0"/>
          <w:numId w:val="2"/>
        </w:numPr>
        <w:spacing w:line="240" w:lineRule="auto"/>
        <w:jc w:val="both"/>
        <w:rPr>
          <w:rFonts w:ascii="Arial" w:hAnsi="Arial" w:cs="Arial"/>
          <w:sz w:val="24"/>
          <w:szCs w:val="24"/>
          <w:lang w:val="es-CO"/>
        </w:rPr>
      </w:pPr>
      <w:r w:rsidRPr="007E3673">
        <w:rPr>
          <w:rFonts w:ascii="Arial" w:hAnsi="Arial" w:cs="Arial"/>
          <w:sz w:val="24"/>
          <w:szCs w:val="24"/>
          <w:lang w:val="es-CO"/>
        </w:rPr>
        <w:t>Lograr la defensa, protección y garantía de los derechos de los colombianos en el exterior y los extranjeros en Colombia. </w:t>
      </w:r>
    </w:p>
    <w:p w:rsidR="0003556E" w:rsidRPr="007E3673" w:rsidRDefault="00033E12" w:rsidP="007E3673">
      <w:pPr>
        <w:numPr>
          <w:ilvl w:val="0"/>
          <w:numId w:val="2"/>
        </w:numPr>
        <w:spacing w:line="240" w:lineRule="auto"/>
        <w:jc w:val="both"/>
        <w:rPr>
          <w:rFonts w:ascii="Arial" w:hAnsi="Arial" w:cs="Arial"/>
          <w:sz w:val="24"/>
          <w:szCs w:val="24"/>
          <w:lang w:val="es-CO"/>
        </w:rPr>
      </w:pPr>
      <w:r w:rsidRPr="007E3673">
        <w:rPr>
          <w:rFonts w:ascii="Arial" w:hAnsi="Arial" w:cs="Arial"/>
          <w:sz w:val="24"/>
          <w:szCs w:val="24"/>
          <w:lang w:val="es-CO"/>
        </w:rPr>
        <w:t>Fortalecer la transferencia de capacidades hacia el país de aquellos colombianos con un alto capital humano, así como mantener y ampliar las oportunidades de formación para los colombianos en el exterior y los extranjeros en el país. </w:t>
      </w:r>
    </w:p>
    <w:p w:rsidR="0003556E" w:rsidRPr="007E3673" w:rsidRDefault="00033E12" w:rsidP="007E3673">
      <w:pPr>
        <w:numPr>
          <w:ilvl w:val="0"/>
          <w:numId w:val="2"/>
        </w:numPr>
        <w:spacing w:line="240" w:lineRule="auto"/>
        <w:jc w:val="both"/>
        <w:rPr>
          <w:rFonts w:ascii="Arial" w:hAnsi="Arial" w:cs="Arial"/>
          <w:sz w:val="24"/>
          <w:szCs w:val="24"/>
          <w:lang w:val="es-CO"/>
        </w:rPr>
      </w:pPr>
      <w:r w:rsidRPr="007E3673">
        <w:rPr>
          <w:rFonts w:ascii="Arial" w:hAnsi="Arial" w:cs="Arial"/>
          <w:sz w:val="24"/>
          <w:szCs w:val="24"/>
          <w:lang w:val="es-CO"/>
        </w:rPr>
        <w:t>Garantizar una oferta de servicios estatales permanente, suficiente y efectiva hacia  los colombianos en el exterior y los extranjeros en Colombia, teniendo en cuenta los cambios permanentes de la dinámica migratoria. </w:t>
      </w:r>
    </w:p>
    <w:p w:rsidR="0003556E" w:rsidRPr="007E3673" w:rsidRDefault="00033E12" w:rsidP="007E3673">
      <w:pPr>
        <w:numPr>
          <w:ilvl w:val="0"/>
          <w:numId w:val="2"/>
        </w:numPr>
        <w:spacing w:line="240" w:lineRule="auto"/>
        <w:jc w:val="both"/>
        <w:rPr>
          <w:rFonts w:ascii="Arial" w:hAnsi="Arial" w:cs="Arial"/>
          <w:sz w:val="24"/>
          <w:szCs w:val="24"/>
          <w:lang w:val="es-CO"/>
        </w:rPr>
      </w:pPr>
      <w:r w:rsidRPr="007E3673">
        <w:rPr>
          <w:rFonts w:ascii="Arial" w:hAnsi="Arial" w:cs="Arial"/>
          <w:sz w:val="24"/>
          <w:szCs w:val="24"/>
          <w:lang w:val="es-CO"/>
        </w:rPr>
        <w:t>Garantizar una migración regular de acuerdo a la normatividad internacional.</w:t>
      </w:r>
    </w:p>
    <w:p w:rsidR="007E3673" w:rsidRPr="007E3673" w:rsidRDefault="007E3673" w:rsidP="007E3673">
      <w:pPr>
        <w:spacing w:line="240" w:lineRule="auto"/>
        <w:jc w:val="both"/>
        <w:rPr>
          <w:rFonts w:ascii="Arial" w:hAnsi="Arial" w:cs="Arial"/>
          <w:sz w:val="24"/>
          <w:szCs w:val="24"/>
          <w:lang w:val="es-CO"/>
        </w:rPr>
      </w:pPr>
      <w:r w:rsidRPr="007E3673">
        <w:rPr>
          <w:rFonts w:ascii="Arial" w:hAnsi="Arial" w:cs="Arial"/>
          <w:sz w:val="24"/>
          <w:szCs w:val="24"/>
          <w:lang w:val="es-CO"/>
        </w:rPr>
        <w:lastRenderedPageBreak/>
        <w:t xml:space="preserve">Para ello, el Documento </w:t>
      </w:r>
      <w:proofErr w:type="spellStart"/>
      <w:r w:rsidRPr="007E3673">
        <w:rPr>
          <w:rFonts w:ascii="Arial" w:hAnsi="Arial" w:cs="Arial"/>
          <w:sz w:val="24"/>
          <w:szCs w:val="24"/>
          <w:lang w:val="es-CO"/>
        </w:rPr>
        <w:t>Conpes</w:t>
      </w:r>
      <w:proofErr w:type="spellEnd"/>
      <w:r w:rsidRPr="007E3673">
        <w:rPr>
          <w:rFonts w:ascii="Arial" w:hAnsi="Arial" w:cs="Arial"/>
          <w:sz w:val="24"/>
          <w:szCs w:val="24"/>
          <w:lang w:val="es-CO"/>
        </w:rPr>
        <w:t xml:space="preserve"> 3603 de 2009 aborda diferentes dimensiones de desarrollo de la población migrante (educativa, cultural, participativa y comunitaria, social, económica, seguridad, institucional e informativa), junto con las instituciones responsables y las reformas institucionales requeridas para la implementación y cumplimiento de los objetivos propuestos. Desde el momento de su aprobación, el 24 de agosto de 2009, el Departamento Nacional de Planeación y el Programa Colombia Nos Une se encargan del seguimiento a los compromisos asumidos en la Política Integral Migratoria.    </w:t>
      </w:r>
    </w:p>
    <w:p w:rsidR="007E3673" w:rsidRPr="007E3673" w:rsidRDefault="007E3673" w:rsidP="007E3673">
      <w:pPr>
        <w:spacing w:line="240" w:lineRule="auto"/>
        <w:jc w:val="both"/>
        <w:rPr>
          <w:rFonts w:ascii="Arial" w:hAnsi="Arial" w:cs="Arial"/>
          <w:sz w:val="24"/>
          <w:szCs w:val="24"/>
          <w:lang w:val="es-CO"/>
        </w:rPr>
      </w:pPr>
      <w:r w:rsidRPr="007E3673">
        <w:rPr>
          <w:rFonts w:ascii="Arial" w:hAnsi="Arial" w:cs="Arial"/>
          <w:sz w:val="24"/>
          <w:szCs w:val="24"/>
          <w:lang w:val="es-CO"/>
        </w:rPr>
        <w:t>Más adelante, mediante la Ley 1465 de 2011, se creó el Sistema Nacional de Migraciones, el cual se concibe como:</w:t>
      </w:r>
    </w:p>
    <w:p w:rsidR="007E3673" w:rsidRPr="007E3673" w:rsidRDefault="007E3673" w:rsidP="007E3673">
      <w:pPr>
        <w:spacing w:line="240" w:lineRule="auto"/>
        <w:jc w:val="both"/>
        <w:rPr>
          <w:rFonts w:ascii="Arial" w:hAnsi="Arial" w:cs="Arial"/>
          <w:sz w:val="24"/>
          <w:szCs w:val="24"/>
          <w:lang w:val="es-CO"/>
        </w:rPr>
      </w:pPr>
      <w:r w:rsidRPr="007E3673">
        <w:rPr>
          <w:rFonts w:ascii="Arial" w:hAnsi="Arial" w:cs="Arial"/>
          <w:sz w:val="24"/>
          <w:szCs w:val="24"/>
          <w:lang w:val="es-CO"/>
        </w:rPr>
        <w:t>Un conjunto armónico de instituciones, organizaciones de la sociedad civil, normas, procesos, planes y programas, desde el cual se deberá acompañar el diseño, ejecución, seguimiento y evaluación de la Política Migratoria con el propósito de elevar el nivel de calidad de vida de las comunidades colombianas en el exterior, considerando todos los aspectos de la emigración y la inmigración (artículo 1º).</w:t>
      </w:r>
    </w:p>
    <w:p w:rsidR="007E3673" w:rsidRPr="007E3673" w:rsidRDefault="007E3673" w:rsidP="007E3673">
      <w:pPr>
        <w:spacing w:line="240" w:lineRule="auto"/>
        <w:jc w:val="both"/>
        <w:rPr>
          <w:rFonts w:ascii="Arial" w:hAnsi="Arial" w:cs="Arial"/>
          <w:sz w:val="24"/>
          <w:szCs w:val="24"/>
          <w:lang w:val="es-CO"/>
        </w:rPr>
      </w:pPr>
      <w:r w:rsidRPr="007E3673">
        <w:rPr>
          <w:rFonts w:ascii="Arial" w:hAnsi="Arial" w:cs="Arial"/>
          <w:sz w:val="24"/>
          <w:szCs w:val="24"/>
          <w:lang w:val="es-CO"/>
        </w:rPr>
        <w:t xml:space="preserve">La anterior política cuenta con un recurso económico denominado: “Fondo Especial para las Migraciones”, el cual funciona como una cuenta adscrita al Fondo Rotatorio del Ministerio de Relaciones Exteriores y se puede utilizar únicamente en casos especiales de vulnerabilidad y por razones humanitarias para dar asistencia inmediata a los colombianos residentes en el exterior.  </w:t>
      </w:r>
    </w:p>
    <w:p w:rsidR="007E3673" w:rsidRPr="007E3673" w:rsidRDefault="007E3673" w:rsidP="007E3673">
      <w:pPr>
        <w:spacing w:line="240" w:lineRule="auto"/>
        <w:jc w:val="both"/>
        <w:rPr>
          <w:rFonts w:ascii="Arial" w:hAnsi="Arial" w:cs="Arial"/>
          <w:sz w:val="24"/>
          <w:szCs w:val="24"/>
          <w:lang w:val="es-CO"/>
        </w:rPr>
      </w:pPr>
      <w:r w:rsidRPr="007E3673">
        <w:rPr>
          <w:rFonts w:ascii="Arial" w:hAnsi="Arial" w:cs="Arial"/>
          <w:sz w:val="24"/>
          <w:szCs w:val="24"/>
          <w:lang w:val="es-CO"/>
        </w:rPr>
        <w:t xml:space="preserve">Adicionalmente, la Ley 1465 de 2011 (artículo 8º) señala que por iniciativa parlamentaria o del Gobierno Nacional se debe formular un “Plan Retorno” para los migrantes colombianos que son retornados o regresan voluntariamente al país. Esta iniciativa se materializa poco tiempo después con la Ley 1565 de 2012, por la cual se crean incentivos aduaneros, tributarios y financieros concernientes al retorno de los colombianos en el exterior. Asimismo, esta ley tiene por objeto realizar acompañamiento integral a los colombianos retornados, los cuales son clasificados dentro de cuatro tipos de retorno: retorno solidario, retorno humanitario o por causa especial, retorno laboral y retorno productivo. </w:t>
      </w:r>
    </w:p>
    <w:p w:rsidR="007E3673" w:rsidRPr="007E3673" w:rsidRDefault="007E3673" w:rsidP="007E3673">
      <w:pPr>
        <w:spacing w:line="240" w:lineRule="auto"/>
        <w:jc w:val="both"/>
        <w:rPr>
          <w:rFonts w:ascii="Arial" w:hAnsi="Arial" w:cs="Arial"/>
          <w:sz w:val="24"/>
          <w:szCs w:val="24"/>
          <w:lang w:val="es-CO"/>
        </w:rPr>
      </w:pPr>
      <w:r w:rsidRPr="007E3673">
        <w:rPr>
          <w:rFonts w:ascii="Arial" w:hAnsi="Arial" w:cs="Arial"/>
          <w:sz w:val="24"/>
          <w:szCs w:val="24"/>
          <w:lang w:val="es-CO"/>
        </w:rPr>
        <w:t>Los colombianos que viven en el extranjero pueden acogerse a la Ley del Retorno, por una sola vez, siempre y cuando cumplan los siguientes requisitos: a) acreditar que ha permanecido en el extranjero por lo menos tres años; b) manifestar por escrito a la autoridad competente, su interés de retornar al país; y c) ser mayor de edad. No obstante, quedan excluidas las personas con condenas vigentes en Colombia o el exterior, y quienes hayan sido condenados por delitos contra la administración pública (Artículo 2º).</w:t>
      </w:r>
    </w:p>
    <w:p w:rsidR="007E3673" w:rsidRPr="007E3673" w:rsidRDefault="007E3673" w:rsidP="007E3673">
      <w:pPr>
        <w:spacing w:line="240" w:lineRule="auto"/>
        <w:jc w:val="both"/>
        <w:rPr>
          <w:rFonts w:ascii="Arial" w:hAnsi="Arial" w:cs="Arial"/>
          <w:sz w:val="24"/>
          <w:szCs w:val="24"/>
          <w:lang w:val="es-CO"/>
        </w:rPr>
      </w:pPr>
      <w:r w:rsidRPr="007E3673">
        <w:rPr>
          <w:rFonts w:ascii="Arial" w:hAnsi="Arial" w:cs="Arial"/>
          <w:sz w:val="24"/>
          <w:szCs w:val="24"/>
          <w:lang w:val="es-CO"/>
        </w:rPr>
        <w:t xml:space="preserve">Si bien la Ley 1565 de 2012 constituye un avance significativo en cuanto al fortalecimiento del retorno de los colombianos que viven en el exterior, puesto que por primera vez la legislación colombiana brinda incentivos y acompañamiento integral a todos aquellos conciudadanos que deseen regresar voluntariamente al país, dicho texto merece una exégesis minuciosa con el fin de vislumbrar sus alcances y limitaciones. Sobre este asunto nos ocuparemos en la siguiente sección. </w:t>
      </w:r>
    </w:p>
    <w:p w:rsidR="001A0A35" w:rsidRPr="00077C44" w:rsidRDefault="001A0A35" w:rsidP="00077C44">
      <w:pPr>
        <w:spacing w:line="240" w:lineRule="auto"/>
        <w:rPr>
          <w:rFonts w:ascii="Arial" w:hAnsi="Arial" w:cs="Arial"/>
          <w:b/>
          <w:sz w:val="24"/>
          <w:szCs w:val="24"/>
        </w:rPr>
      </w:pPr>
      <w:r w:rsidRPr="00077C44">
        <w:rPr>
          <w:rFonts w:ascii="Arial" w:hAnsi="Arial" w:cs="Arial"/>
          <w:b/>
          <w:sz w:val="24"/>
          <w:szCs w:val="24"/>
        </w:rPr>
        <w:lastRenderedPageBreak/>
        <w:t>Análisis de la ley de retorno</w:t>
      </w:r>
      <w:r w:rsidR="00077C44" w:rsidRPr="00077C44">
        <w:rPr>
          <w:rStyle w:val="Refdenotaalpie"/>
          <w:rFonts w:ascii="Arial" w:hAnsi="Arial" w:cs="Arial"/>
          <w:b/>
          <w:sz w:val="24"/>
          <w:szCs w:val="24"/>
        </w:rPr>
        <w:footnoteReference w:id="2"/>
      </w:r>
      <w:r w:rsidRPr="00077C44">
        <w:rPr>
          <w:rFonts w:ascii="Arial" w:hAnsi="Arial" w:cs="Arial"/>
          <w:b/>
          <w:sz w:val="24"/>
          <w:szCs w:val="24"/>
        </w:rPr>
        <w:t xml:space="preserve"> </w:t>
      </w:r>
    </w:p>
    <w:p w:rsidR="00077C44" w:rsidRDefault="00077C44" w:rsidP="00077C44">
      <w:pPr>
        <w:spacing w:line="240" w:lineRule="auto"/>
        <w:jc w:val="both"/>
        <w:rPr>
          <w:rFonts w:ascii="Arial" w:hAnsi="Arial" w:cs="Arial"/>
          <w:b/>
          <w:sz w:val="24"/>
          <w:szCs w:val="24"/>
        </w:rPr>
      </w:pPr>
    </w:p>
    <w:p w:rsidR="00005994" w:rsidRPr="00077C44" w:rsidRDefault="00005994" w:rsidP="00077C44">
      <w:pPr>
        <w:spacing w:line="240" w:lineRule="auto"/>
        <w:jc w:val="both"/>
        <w:rPr>
          <w:rFonts w:ascii="Arial" w:hAnsi="Arial" w:cs="Arial"/>
          <w:sz w:val="24"/>
          <w:szCs w:val="24"/>
        </w:rPr>
      </w:pPr>
      <w:r w:rsidRPr="00077C44">
        <w:rPr>
          <w:rFonts w:ascii="Arial" w:hAnsi="Arial" w:cs="Arial"/>
          <w:sz w:val="24"/>
          <w:szCs w:val="24"/>
        </w:rPr>
        <w:t xml:space="preserve">Es importante dejar de manifiesto que este trabajo es un primer acercamiento al análisis del imaginario en torno al emigrante retornado, en donde lo que se busca es hacer emerger categorías y conceptos que permitan organizar los significados en relación a campos semánticos que vayan definiendo el propio imaginario. Se busca de esta manera observar una primera representación en el texto legal, distinguiendo </w:t>
      </w:r>
      <w:r w:rsidR="005C157C" w:rsidRPr="00077C44">
        <w:rPr>
          <w:rFonts w:ascii="Arial" w:hAnsi="Arial" w:cs="Arial"/>
          <w:sz w:val="24"/>
          <w:szCs w:val="24"/>
        </w:rPr>
        <w:t>algunos aspectos relevantes.</w:t>
      </w:r>
      <w:r w:rsidRPr="00077C44">
        <w:rPr>
          <w:rFonts w:ascii="Arial" w:hAnsi="Arial" w:cs="Arial"/>
          <w:sz w:val="24"/>
          <w:szCs w:val="24"/>
        </w:rPr>
        <w:t xml:space="preserve"> </w:t>
      </w:r>
    </w:p>
    <w:p w:rsidR="00023A67" w:rsidRPr="00077C44" w:rsidRDefault="00CB251E" w:rsidP="00077C44">
      <w:pPr>
        <w:spacing w:line="240" w:lineRule="auto"/>
        <w:jc w:val="both"/>
        <w:rPr>
          <w:rFonts w:ascii="Arial" w:hAnsi="Arial" w:cs="Arial"/>
          <w:sz w:val="24"/>
          <w:szCs w:val="24"/>
        </w:rPr>
      </w:pPr>
      <w:r>
        <w:rPr>
          <w:rFonts w:ascii="Arial" w:hAnsi="Arial" w:cs="Arial"/>
          <w:sz w:val="24"/>
          <w:szCs w:val="24"/>
        </w:rPr>
        <w:t>En este análisis</w:t>
      </w:r>
      <w:r w:rsidR="00023A67" w:rsidRPr="00077C44">
        <w:rPr>
          <w:rFonts w:ascii="Arial" w:hAnsi="Arial" w:cs="Arial"/>
          <w:sz w:val="24"/>
          <w:szCs w:val="24"/>
        </w:rPr>
        <w:t xml:space="preserve"> tomar</w:t>
      </w:r>
      <w:r>
        <w:rPr>
          <w:rFonts w:ascii="Arial" w:hAnsi="Arial" w:cs="Arial"/>
          <w:sz w:val="24"/>
          <w:szCs w:val="24"/>
        </w:rPr>
        <w:t xml:space="preserve">emos como referencia </w:t>
      </w:r>
      <w:r w:rsidR="00023A67" w:rsidRPr="00077C44">
        <w:rPr>
          <w:rFonts w:ascii="Arial" w:hAnsi="Arial" w:cs="Arial"/>
          <w:sz w:val="24"/>
          <w:szCs w:val="24"/>
        </w:rPr>
        <w:t xml:space="preserve"> la Ley 1565 de 2012 y el decreto 1000 del 21 de Mayo de 2013, y el 2064 del 23 de septiembre del mismo año.</w:t>
      </w:r>
    </w:p>
    <w:p w:rsidR="00023A67" w:rsidRPr="00077C44" w:rsidRDefault="00023A67" w:rsidP="00077C44">
      <w:pPr>
        <w:spacing w:line="240" w:lineRule="auto"/>
        <w:jc w:val="both"/>
        <w:rPr>
          <w:rFonts w:ascii="Arial" w:hAnsi="Arial" w:cs="Arial"/>
          <w:sz w:val="24"/>
          <w:szCs w:val="24"/>
        </w:rPr>
      </w:pPr>
    </w:p>
    <w:p w:rsidR="00023A67" w:rsidRPr="00077C44" w:rsidRDefault="00023A67" w:rsidP="00077C44">
      <w:pPr>
        <w:spacing w:line="240" w:lineRule="auto"/>
        <w:jc w:val="both"/>
        <w:rPr>
          <w:rFonts w:ascii="Arial" w:hAnsi="Arial" w:cs="Arial"/>
          <w:sz w:val="24"/>
          <w:szCs w:val="24"/>
        </w:rPr>
      </w:pPr>
    </w:p>
    <w:p w:rsidR="00005994" w:rsidRPr="00077C44" w:rsidRDefault="00005994" w:rsidP="00077C44">
      <w:pPr>
        <w:spacing w:line="240" w:lineRule="auto"/>
        <w:rPr>
          <w:rFonts w:ascii="Arial" w:hAnsi="Arial" w:cs="Arial"/>
          <w:sz w:val="24"/>
          <w:szCs w:val="24"/>
        </w:rPr>
      </w:pPr>
    </w:p>
    <w:sectPr w:rsidR="00005994" w:rsidRPr="00077C44" w:rsidSect="0003556E">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694F" w:rsidRDefault="00C2694F" w:rsidP="00077C44">
      <w:pPr>
        <w:spacing w:after="0" w:line="240" w:lineRule="auto"/>
      </w:pPr>
      <w:r>
        <w:separator/>
      </w:r>
    </w:p>
  </w:endnote>
  <w:endnote w:type="continuationSeparator" w:id="0">
    <w:p w:rsidR="00C2694F" w:rsidRDefault="00C2694F" w:rsidP="00077C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694F" w:rsidRDefault="00C2694F" w:rsidP="00077C44">
      <w:pPr>
        <w:spacing w:after="0" w:line="240" w:lineRule="auto"/>
      </w:pPr>
      <w:r>
        <w:separator/>
      </w:r>
    </w:p>
  </w:footnote>
  <w:footnote w:type="continuationSeparator" w:id="0">
    <w:p w:rsidR="00C2694F" w:rsidRDefault="00C2694F" w:rsidP="00077C44">
      <w:pPr>
        <w:spacing w:after="0" w:line="240" w:lineRule="auto"/>
      </w:pPr>
      <w:r>
        <w:continuationSeparator/>
      </w:r>
    </w:p>
  </w:footnote>
  <w:footnote w:id="1">
    <w:p w:rsidR="0003556E" w:rsidRDefault="0003556E">
      <w:pPr>
        <w:pStyle w:val="Textonotapie"/>
      </w:pPr>
      <w:r>
        <w:rPr>
          <w:rStyle w:val="Refdenotaalpie"/>
        </w:rPr>
        <w:footnoteRef/>
      </w:r>
      <w:r>
        <w:t xml:space="preserve"> </w:t>
      </w:r>
      <w:hyperlink r:id="rId1" w:history="1">
        <w:r w:rsidRPr="00A42F96">
          <w:rPr>
            <w:rStyle w:val="Hipervnculo"/>
          </w:rPr>
          <w:t>https://imaginariosdelretorno.wordpress.com/</w:t>
        </w:r>
      </w:hyperlink>
      <w:r>
        <w:t xml:space="preserve"> </w:t>
      </w:r>
    </w:p>
  </w:footnote>
  <w:footnote w:id="2">
    <w:p w:rsidR="0003556E" w:rsidRDefault="0003556E" w:rsidP="009A77E7">
      <w:pPr>
        <w:pStyle w:val="Textonotapie"/>
        <w:jc w:val="both"/>
      </w:pPr>
      <w:r>
        <w:rPr>
          <w:rStyle w:val="Refdenotaalpie"/>
        </w:rPr>
        <w:footnoteRef/>
      </w:r>
      <w:r>
        <w:t xml:space="preserve"> Este análisis también se envía</w:t>
      </w:r>
      <w:r w:rsidRPr="00077C44">
        <w:t xml:space="preserve"> como insumo a la reunión de conformación de la Mesa Nacional de la Sociedad Civil del Sistema Nacional de Migraciones. Convocada por el Ministerio de Relaciones Exteriores de Colombia.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BC803DB"/>
    <w:multiLevelType w:val="hybridMultilevel"/>
    <w:tmpl w:val="21E0DABA"/>
    <w:lvl w:ilvl="0" w:tplc="240A000F">
      <w:start w:val="1"/>
      <w:numFmt w:val="decimal"/>
      <w:lvlText w:val="%1."/>
      <w:lvlJc w:val="left"/>
      <w:pPr>
        <w:ind w:left="435" w:hanging="360"/>
      </w:pPr>
    </w:lvl>
    <w:lvl w:ilvl="1" w:tplc="240A0019" w:tentative="1">
      <w:start w:val="1"/>
      <w:numFmt w:val="lowerLetter"/>
      <w:lvlText w:val="%2."/>
      <w:lvlJc w:val="left"/>
      <w:pPr>
        <w:ind w:left="1155" w:hanging="360"/>
      </w:pPr>
    </w:lvl>
    <w:lvl w:ilvl="2" w:tplc="240A001B" w:tentative="1">
      <w:start w:val="1"/>
      <w:numFmt w:val="lowerRoman"/>
      <w:lvlText w:val="%3."/>
      <w:lvlJc w:val="right"/>
      <w:pPr>
        <w:ind w:left="1875" w:hanging="180"/>
      </w:pPr>
    </w:lvl>
    <w:lvl w:ilvl="3" w:tplc="240A000F" w:tentative="1">
      <w:start w:val="1"/>
      <w:numFmt w:val="decimal"/>
      <w:lvlText w:val="%4."/>
      <w:lvlJc w:val="left"/>
      <w:pPr>
        <w:ind w:left="2595" w:hanging="360"/>
      </w:pPr>
    </w:lvl>
    <w:lvl w:ilvl="4" w:tplc="240A0019" w:tentative="1">
      <w:start w:val="1"/>
      <w:numFmt w:val="lowerLetter"/>
      <w:lvlText w:val="%5."/>
      <w:lvlJc w:val="left"/>
      <w:pPr>
        <w:ind w:left="3315" w:hanging="360"/>
      </w:pPr>
    </w:lvl>
    <w:lvl w:ilvl="5" w:tplc="240A001B" w:tentative="1">
      <w:start w:val="1"/>
      <w:numFmt w:val="lowerRoman"/>
      <w:lvlText w:val="%6."/>
      <w:lvlJc w:val="right"/>
      <w:pPr>
        <w:ind w:left="4035" w:hanging="180"/>
      </w:pPr>
    </w:lvl>
    <w:lvl w:ilvl="6" w:tplc="240A000F" w:tentative="1">
      <w:start w:val="1"/>
      <w:numFmt w:val="decimal"/>
      <w:lvlText w:val="%7."/>
      <w:lvlJc w:val="left"/>
      <w:pPr>
        <w:ind w:left="4755" w:hanging="360"/>
      </w:pPr>
    </w:lvl>
    <w:lvl w:ilvl="7" w:tplc="240A0019" w:tentative="1">
      <w:start w:val="1"/>
      <w:numFmt w:val="lowerLetter"/>
      <w:lvlText w:val="%8."/>
      <w:lvlJc w:val="left"/>
      <w:pPr>
        <w:ind w:left="5475" w:hanging="360"/>
      </w:pPr>
    </w:lvl>
    <w:lvl w:ilvl="8" w:tplc="240A001B" w:tentative="1">
      <w:start w:val="1"/>
      <w:numFmt w:val="lowerRoman"/>
      <w:lvlText w:val="%9."/>
      <w:lvlJc w:val="right"/>
      <w:pPr>
        <w:ind w:left="6195" w:hanging="180"/>
      </w:pPr>
    </w:lvl>
  </w:abstractNum>
  <w:abstractNum w:abstractNumId="1" w15:restartNumberingAfterBreak="0">
    <w:nsid w:val="70F95068"/>
    <w:multiLevelType w:val="hybridMultilevel"/>
    <w:tmpl w:val="ED9ADF10"/>
    <w:lvl w:ilvl="0" w:tplc="23AE14CA">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3A67"/>
    <w:rsid w:val="00005994"/>
    <w:rsid w:val="00023A67"/>
    <w:rsid w:val="00033E12"/>
    <w:rsid w:val="0003556E"/>
    <w:rsid w:val="000524C7"/>
    <w:rsid w:val="00077C44"/>
    <w:rsid w:val="000B486A"/>
    <w:rsid w:val="000D1646"/>
    <w:rsid w:val="000E5940"/>
    <w:rsid w:val="0010071C"/>
    <w:rsid w:val="00123198"/>
    <w:rsid w:val="001A0A35"/>
    <w:rsid w:val="003002B9"/>
    <w:rsid w:val="00317376"/>
    <w:rsid w:val="003304EF"/>
    <w:rsid w:val="00365FBC"/>
    <w:rsid w:val="003A3D63"/>
    <w:rsid w:val="00404FDE"/>
    <w:rsid w:val="00413895"/>
    <w:rsid w:val="00417D4E"/>
    <w:rsid w:val="00464E98"/>
    <w:rsid w:val="004815DC"/>
    <w:rsid w:val="00546365"/>
    <w:rsid w:val="00556B06"/>
    <w:rsid w:val="005C157C"/>
    <w:rsid w:val="005E0962"/>
    <w:rsid w:val="005E3E33"/>
    <w:rsid w:val="005F37C5"/>
    <w:rsid w:val="006520D2"/>
    <w:rsid w:val="00662D47"/>
    <w:rsid w:val="00665272"/>
    <w:rsid w:val="006904E2"/>
    <w:rsid w:val="00704FF6"/>
    <w:rsid w:val="00727E18"/>
    <w:rsid w:val="007359B0"/>
    <w:rsid w:val="00765669"/>
    <w:rsid w:val="007C664D"/>
    <w:rsid w:val="007E3673"/>
    <w:rsid w:val="008A18E1"/>
    <w:rsid w:val="008E420F"/>
    <w:rsid w:val="009456D2"/>
    <w:rsid w:val="009565C5"/>
    <w:rsid w:val="00991856"/>
    <w:rsid w:val="009A77E7"/>
    <w:rsid w:val="00A82B25"/>
    <w:rsid w:val="00A86F8D"/>
    <w:rsid w:val="00A97F30"/>
    <w:rsid w:val="00AB1A3B"/>
    <w:rsid w:val="00AB733E"/>
    <w:rsid w:val="00B1120E"/>
    <w:rsid w:val="00B5622A"/>
    <w:rsid w:val="00BF7116"/>
    <w:rsid w:val="00C2694F"/>
    <w:rsid w:val="00C66B8F"/>
    <w:rsid w:val="00CB251E"/>
    <w:rsid w:val="00CE6FA6"/>
    <w:rsid w:val="00D7576F"/>
    <w:rsid w:val="00D94169"/>
    <w:rsid w:val="00DC6B35"/>
    <w:rsid w:val="00DD2E0D"/>
    <w:rsid w:val="00DE045D"/>
    <w:rsid w:val="00ED12DB"/>
    <w:rsid w:val="00EE225E"/>
    <w:rsid w:val="00F0132E"/>
    <w:rsid w:val="00F11944"/>
    <w:rsid w:val="00F15585"/>
    <w:rsid w:val="00F67C8C"/>
    <w:rsid w:val="00F83B8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B930475-100F-4D79-BFBB-C73F924503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A0A35"/>
    <w:pPr>
      <w:ind w:left="720"/>
      <w:contextualSpacing/>
    </w:pPr>
  </w:style>
  <w:style w:type="table" w:styleId="Tablaconcuadrcula">
    <w:name w:val="Table Grid"/>
    <w:basedOn w:val="Tablanormal"/>
    <w:uiPriority w:val="59"/>
    <w:rsid w:val="00DD2E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0B486A"/>
    <w:rPr>
      <w:color w:val="0000FF" w:themeColor="hyperlink"/>
      <w:u w:val="single"/>
    </w:rPr>
  </w:style>
  <w:style w:type="paragraph" w:styleId="Textonotapie">
    <w:name w:val="footnote text"/>
    <w:basedOn w:val="Normal"/>
    <w:link w:val="TextonotapieCar"/>
    <w:uiPriority w:val="99"/>
    <w:semiHidden/>
    <w:unhideWhenUsed/>
    <w:rsid w:val="00077C4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77C44"/>
    <w:rPr>
      <w:sz w:val="20"/>
      <w:szCs w:val="20"/>
    </w:rPr>
  </w:style>
  <w:style w:type="character" w:styleId="Refdenotaalpie">
    <w:name w:val="footnote reference"/>
    <w:basedOn w:val="Fuentedeprrafopredeter"/>
    <w:uiPriority w:val="99"/>
    <w:semiHidden/>
    <w:unhideWhenUsed/>
    <w:rsid w:val="00077C44"/>
    <w:rPr>
      <w:vertAlign w:val="superscript"/>
    </w:rPr>
  </w:style>
  <w:style w:type="paragraph" w:styleId="Textodeglobo">
    <w:name w:val="Balloon Text"/>
    <w:basedOn w:val="Normal"/>
    <w:link w:val="TextodegloboCar"/>
    <w:uiPriority w:val="99"/>
    <w:semiHidden/>
    <w:unhideWhenUsed/>
    <w:rsid w:val="0003556E"/>
    <w:pPr>
      <w:spacing w:after="0" w:line="240" w:lineRule="auto"/>
    </w:pPr>
    <w:rPr>
      <w:rFonts w:ascii="Arial" w:hAnsi="Arial" w:cs="Arial"/>
      <w:sz w:val="18"/>
      <w:szCs w:val="18"/>
    </w:rPr>
  </w:style>
  <w:style w:type="character" w:customStyle="1" w:styleId="TextodegloboCar">
    <w:name w:val="Texto de globo Car"/>
    <w:basedOn w:val="Fuentedeprrafopredeter"/>
    <w:link w:val="Textodeglobo"/>
    <w:uiPriority w:val="99"/>
    <w:semiHidden/>
    <w:rsid w:val="0003556E"/>
    <w:rPr>
      <w:rFonts w:ascii="Arial" w:hAnsi="Arial" w:cs="Arial"/>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elipealiaga@usantotomas.edu.co"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ivonnerobayoc@usantotomas.edu.co" TargetMode="External"/><Relationship Id="rId4" Type="http://schemas.openxmlformats.org/officeDocument/2006/relationships/settings" Target="settings.xml"/><Relationship Id="rId9" Type="http://schemas.openxmlformats.org/officeDocument/2006/relationships/hyperlink" Target="mailto:cristhianuribe@usantotomas.edu.co"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imaginariosdelretorno.wordpres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43616C-9BFE-4170-8D0F-3B16D0487D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371</TotalTime>
  <Pages>1</Pages>
  <Words>2920</Words>
  <Characters>16064</Characters>
  <Application>Microsoft Office Word</Application>
  <DocSecurity>0</DocSecurity>
  <Lines>133</Lines>
  <Paragraphs>37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18947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Felipe Aliaga</dc:creator>
  <cp:lastModifiedBy>Usuario</cp:lastModifiedBy>
  <cp:revision>6</cp:revision>
  <cp:lastPrinted>2016-04-21T21:26:00Z</cp:lastPrinted>
  <dcterms:created xsi:type="dcterms:W3CDTF">2016-02-27T20:35:00Z</dcterms:created>
  <dcterms:modified xsi:type="dcterms:W3CDTF">2016-04-22T05:36:00Z</dcterms:modified>
</cp:coreProperties>
</file>