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07F" w:rsidRDefault="0091007F">
      <w:pPr>
        <w:widowControl w:val="0"/>
        <w:pBdr>
          <w:top w:val="nil"/>
          <w:left w:val="nil"/>
          <w:bottom w:val="nil"/>
          <w:right w:val="nil"/>
          <w:between w:val="nil"/>
        </w:pBdr>
        <w:spacing w:after="0" w:line="276" w:lineRule="auto"/>
      </w:pPr>
    </w:p>
    <w:p w:rsidR="0091007F" w:rsidRDefault="00EE65C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DECIMOQUINTA CONVOCATORIA PARA EL FOMENTO DE LA INVESTIGACIÓN Y LA INNOVACIÓN 2020</w:t>
      </w:r>
    </w:p>
    <w:tbl>
      <w:tblPr>
        <w:tblStyle w:val="a"/>
        <w:tblW w:w="14983" w:type="dxa"/>
        <w:tblInd w:w="0" w:type="dxa"/>
        <w:tblLayout w:type="fixed"/>
        <w:tblLook w:val="0400" w:firstRow="0" w:lastRow="0" w:firstColumn="0" w:lastColumn="0" w:noHBand="0" w:noVBand="1"/>
      </w:tblPr>
      <w:tblGrid>
        <w:gridCol w:w="7491"/>
        <w:gridCol w:w="7492"/>
      </w:tblGrid>
      <w:tr w:rsidR="0091007F">
        <w:tc>
          <w:tcPr>
            <w:tcW w:w="14983" w:type="dxa"/>
            <w:gridSpan w:val="2"/>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Título del proyecto</w:t>
            </w:r>
          </w:p>
        </w:tc>
      </w:tr>
      <w:tr w:rsidR="0091007F">
        <w:trPr>
          <w:trHeight w:val="520"/>
        </w:trPr>
        <w:tc>
          <w:tcPr>
            <w:tcW w:w="14983" w:type="dxa"/>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pBdr>
                <w:top w:val="nil"/>
                <w:left w:val="nil"/>
                <w:bottom w:val="nil"/>
                <w:right w:val="nil"/>
                <w:between w:val="nil"/>
              </w:pBdr>
              <w:spacing w:after="20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Incidencia pedag</w:t>
            </w:r>
            <w:r>
              <w:rPr>
                <w:rFonts w:ascii="Times New Roman" w:eastAsia="Times New Roman" w:hAnsi="Times New Roman" w:cs="Times New Roman"/>
                <w:sz w:val="24"/>
                <w:szCs w:val="24"/>
              </w:rPr>
              <w:t>ógica</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sz w:val="24"/>
                <w:szCs w:val="24"/>
              </w:rPr>
              <w:t>educomunicativa</w:t>
            </w:r>
            <w:proofErr w:type="spellEnd"/>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del reconocimiento de  la verdad y la memoria: en búsqueda de la reconciliación y paz sostenible en el Catatumbo y Altos de </w:t>
            </w:r>
            <w:proofErr w:type="spellStart"/>
            <w:r>
              <w:rPr>
                <w:rFonts w:ascii="Times New Roman" w:eastAsia="Times New Roman" w:hAnsi="Times New Roman" w:cs="Times New Roman"/>
                <w:color w:val="000000"/>
                <w:sz w:val="24"/>
                <w:szCs w:val="24"/>
              </w:rPr>
              <w:t>Cazucá</w:t>
            </w:r>
            <w:proofErr w:type="spellEnd"/>
          </w:p>
        </w:tc>
      </w:tr>
      <w:tr w:rsidR="0091007F">
        <w:tc>
          <w:tcPr>
            <w:tcW w:w="749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Campo de acción</w:t>
            </w:r>
          </w:p>
        </w:tc>
        <w:tc>
          <w:tcPr>
            <w:tcW w:w="7492" w:type="dxa"/>
            <w:tcBorders>
              <w:top w:val="single" w:sz="6" w:space="0" w:color="DDDDDD"/>
              <w:left w:val="single" w:sz="6" w:space="0" w:color="DDDDDD"/>
              <w:bottom w:val="single" w:sz="6" w:space="0" w:color="DDDDDD"/>
              <w:right w:val="single" w:sz="6" w:space="0" w:color="DDDDDD"/>
            </w:tcBorders>
            <w:shd w:val="clear" w:color="auto" w:fill="F2F2F2"/>
            <w:vAlign w:val="center"/>
          </w:tcPr>
          <w:p w:rsidR="0091007F" w:rsidRDefault="00EE65C3">
            <w:pPr>
              <w:spacing w:line="240" w:lineRule="auto"/>
              <w:jc w:val="center"/>
              <w:rPr>
                <w:rFonts w:ascii="Times New Roman" w:eastAsia="Times New Roman" w:hAnsi="Times New Roman" w:cs="Times New Roman"/>
                <w:b/>
                <w:color w:val="222222"/>
                <w:sz w:val="24"/>
                <w:szCs w:val="24"/>
              </w:rPr>
            </w:pPr>
            <w:proofErr w:type="spellStart"/>
            <w:r>
              <w:rPr>
                <w:rFonts w:ascii="Times New Roman" w:eastAsia="Times New Roman" w:hAnsi="Times New Roman" w:cs="Times New Roman"/>
                <w:b/>
                <w:color w:val="222222"/>
                <w:sz w:val="24"/>
                <w:szCs w:val="24"/>
              </w:rPr>
              <w:t>Transdisciplinariedad</w:t>
            </w:r>
            <w:proofErr w:type="spellEnd"/>
            <w:r>
              <w:rPr>
                <w:rFonts w:ascii="Times New Roman" w:eastAsia="Times New Roman" w:hAnsi="Times New Roman" w:cs="Times New Roman"/>
                <w:b/>
                <w:color w:val="222222"/>
                <w:sz w:val="24"/>
                <w:szCs w:val="24"/>
              </w:rPr>
              <w:t xml:space="preserve"> - Aporte al PIM</w:t>
            </w:r>
          </w:p>
        </w:tc>
      </w:tr>
      <w:tr w:rsidR="0091007F">
        <w:tc>
          <w:tcPr>
            <w:tcW w:w="749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Derechos humanos, ciudadanía y construcción de política pública en y para escenarios de paz</w:t>
            </w:r>
            <w:r>
              <w:rPr>
                <w:rFonts w:ascii="Times New Roman" w:eastAsia="Times New Roman" w:hAnsi="Times New Roman" w:cs="Times New Roman"/>
                <w:color w:val="333333"/>
                <w:sz w:val="24"/>
                <w:szCs w:val="24"/>
              </w:rPr>
              <w:t xml:space="preserve"> </w:t>
            </w:r>
          </w:p>
        </w:tc>
        <w:tc>
          <w:tcPr>
            <w:tcW w:w="7492" w:type="dxa"/>
            <w:tcBorders>
              <w:top w:val="single" w:sz="6" w:space="0" w:color="DDDDDD"/>
              <w:left w:val="single" w:sz="6" w:space="0" w:color="DDDDDD"/>
              <w:bottom w:val="single" w:sz="6" w:space="0" w:color="DDDDDD"/>
              <w:right w:val="single" w:sz="6" w:space="0" w:color="DDDDDD"/>
            </w:tcBorders>
            <w:shd w:val="clear" w:color="auto" w:fill="FFFFFF"/>
            <w:vAlign w:val="center"/>
          </w:tcPr>
          <w:p w:rsidR="0091007F" w:rsidRDefault="00EE65C3">
            <w:p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Proyección social e investigación pertinentes: El tema </w:t>
            </w:r>
            <w:proofErr w:type="gramStart"/>
            <w:r>
              <w:rPr>
                <w:rFonts w:ascii="Times New Roman" w:eastAsia="Times New Roman" w:hAnsi="Times New Roman" w:cs="Times New Roman"/>
                <w:color w:val="222222"/>
                <w:sz w:val="24"/>
                <w:szCs w:val="24"/>
              </w:rPr>
              <w:t>es  sustancial</w:t>
            </w:r>
            <w:proofErr w:type="gramEnd"/>
            <w:r>
              <w:rPr>
                <w:rFonts w:ascii="Times New Roman" w:eastAsia="Times New Roman" w:hAnsi="Times New Roman" w:cs="Times New Roman"/>
                <w:color w:val="222222"/>
                <w:sz w:val="24"/>
                <w:szCs w:val="24"/>
              </w:rPr>
              <w:t xml:space="preserve"> para la realidad nacional y el debate actual relacionado con la paz.  Aporte fundamental para </w:t>
            </w:r>
            <w:r>
              <w:rPr>
                <w:rFonts w:ascii="Times New Roman" w:eastAsia="Times New Roman" w:hAnsi="Times New Roman" w:cs="Times New Roman"/>
                <w:sz w:val="24"/>
                <w:szCs w:val="24"/>
              </w:rPr>
              <w:t>el Instituto de la Paz y el Desarrollo (IPAZDE).</w:t>
            </w:r>
          </w:p>
        </w:tc>
      </w:tr>
      <w:tr w:rsidR="0091007F">
        <w:tc>
          <w:tcPr>
            <w:tcW w:w="14983" w:type="dxa"/>
            <w:gridSpan w:val="2"/>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Articulación con funciones sustantivas y el sector social y productivo</w:t>
            </w:r>
          </w:p>
        </w:tc>
      </w:tr>
      <w:tr w:rsidR="0091007F">
        <w:tc>
          <w:tcPr>
            <w:tcW w:w="14983" w:type="dxa"/>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after="10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Investigación: </w:t>
            </w:r>
            <w:r>
              <w:rPr>
                <w:rFonts w:ascii="Times New Roman" w:eastAsia="Times New Roman" w:hAnsi="Times New Roman" w:cs="Times New Roman"/>
                <w:color w:val="222222"/>
                <w:sz w:val="24"/>
                <w:szCs w:val="24"/>
              </w:rPr>
              <w:t xml:space="preserve">Acercamiento de la recuperación de la verdad y la restructuración de la memoria para ser integradas a través de la </w:t>
            </w:r>
            <w:proofErr w:type="spellStart"/>
            <w:r>
              <w:rPr>
                <w:rFonts w:ascii="Times New Roman" w:eastAsia="Times New Roman" w:hAnsi="Times New Roman" w:cs="Times New Roman"/>
                <w:color w:val="222222"/>
                <w:sz w:val="24"/>
                <w:szCs w:val="24"/>
              </w:rPr>
              <w:t>educomunicación</w:t>
            </w:r>
            <w:proofErr w:type="spellEnd"/>
            <w:r>
              <w:rPr>
                <w:rFonts w:ascii="Times New Roman" w:eastAsia="Times New Roman" w:hAnsi="Times New Roman" w:cs="Times New Roman"/>
                <w:color w:val="222222"/>
                <w:sz w:val="24"/>
                <w:szCs w:val="24"/>
              </w:rPr>
              <w:t xml:space="preserve"> a las comunidades educativas del Catatumbo y de </w:t>
            </w:r>
            <w:proofErr w:type="spellStart"/>
            <w:r>
              <w:rPr>
                <w:rFonts w:ascii="Times New Roman" w:eastAsia="Times New Roman" w:hAnsi="Times New Roman" w:cs="Times New Roman"/>
                <w:color w:val="222222"/>
                <w:sz w:val="24"/>
                <w:szCs w:val="24"/>
              </w:rPr>
              <w:t>Cazucá</w:t>
            </w:r>
            <w:proofErr w:type="spellEnd"/>
            <w:r>
              <w:rPr>
                <w:rFonts w:ascii="Times New Roman" w:eastAsia="Times New Roman" w:hAnsi="Times New Roman" w:cs="Times New Roman"/>
                <w:color w:val="222222"/>
                <w:sz w:val="24"/>
                <w:szCs w:val="24"/>
              </w:rPr>
              <w:t>.</w:t>
            </w:r>
          </w:p>
          <w:p w:rsidR="0091007F" w:rsidRDefault="00EE65C3">
            <w:pPr>
              <w:spacing w:after="10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Docencia:</w:t>
            </w:r>
            <w:r>
              <w:rPr>
                <w:rFonts w:ascii="Times New Roman" w:eastAsia="Times New Roman" w:hAnsi="Times New Roman" w:cs="Times New Roman"/>
                <w:color w:val="222222"/>
                <w:sz w:val="24"/>
                <w:szCs w:val="24"/>
              </w:rPr>
              <w:t xml:space="preserve"> Reflexión y transformación de procesos de la relación enseñanza-aprendizaje, que propicie nuevas rutas y estrategias para la enseñanza de la comunicación con una impronta de paz. </w:t>
            </w:r>
          </w:p>
          <w:p w:rsidR="0091007F" w:rsidRDefault="00EE65C3">
            <w:pPr>
              <w:spacing w:after="10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Responsabilidad Social: </w:t>
            </w:r>
            <w:r>
              <w:rPr>
                <w:rFonts w:ascii="Times New Roman" w:eastAsia="Times New Roman" w:hAnsi="Times New Roman" w:cs="Times New Roman"/>
                <w:color w:val="222222"/>
                <w:sz w:val="24"/>
                <w:szCs w:val="24"/>
              </w:rPr>
              <w:t>Incidir en la apropiación</w:t>
            </w:r>
            <w:r>
              <w:rPr>
                <w:rFonts w:ascii="Times New Roman" w:eastAsia="Times New Roman" w:hAnsi="Times New Roman" w:cs="Times New Roman"/>
                <w:b/>
                <w:color w:val="222222"/>
                <w:sz w:val="24"/>
                <w:szCs w:val="24"/>
              </w:rPr>
              <w:t xml:space="preserve"> de </w:t>
            </w:r>
            <w:r>
              <w:rPr>
                <w:rFonts w:ascii="Times New Roman" w:eastAsia="Times New Roman" w:hAnsi="Times New Roman" w:cs="Times New Roman"/>
                <w:color w:val="222222"/>
                <w:sz w:val="24"/>
                <w:szCs w:val="24"/>
              </w:rPr>
              <w:t xml:space="preserve">una cultura de paz en </w:t>
            </w:r>
            <w:proofErr w:type="gramStart"/>
            <w:r>
              <w:rPr>
                <w:rFonts w:ascii="Times New Roman" w:eastAsia="Times New Roman" w:hAnsi="Times New Roman" w:cs="Times New Roman"/>
                <w:color w:val="222222"/>
                <w:sz w:val="24"/>
                <w:szCs w:val="24"/>
              </w:rPr>
              <w:t>la comunidades escolares</w:t>
            </w:r>
            <w:proofErr w:type="gramEnd"/>
            <w:r>
              <w:rPr>
                <w:rFonts w:ascii="Times New Roman" w:eastAsia="Times New Roman" w:hAnsi="Times New Roman" w:cs="Times New Roman"/>
                <w:color w:val="222222"/>
                <w:sz w:val="24"/>
                <w:szCs w:val="24"/>
              </w:rPr>
              <w:t xml:space="preserve"> de Catatumbo y </w:t>
            </w:r>
            <w:proofErr w:type="spellStart"/>
            <w:r>
              <w:rPr>
                <w:rFonts w:ascii="Times New Roman" w:eastAsia="Times New Roman" w:hAnsi="Times New Roman" w:cs="Times New Roman"/>
                <w:color w:val="222222"/>
                <w:sz w:val="24"/>
                <w:szCs w:val="24"/>
              </w:rPr>
              <w:t>Cazucá</w:t>
            </w:r>
            <w:proofErr w:type="spellEnd"/>
            <w:r>
              <w:rPr>
                <w:rFonts w:ascii="Times New Roman" w:eastAsia="Times New Roman" w:hAnsi="Times New Roman" w:cs="Times New Roman"/>
                <w:color w:val="222222"/>
                <w:sz w:val="24"/>
                <w:szCs w:val="24"/>
              </w:rPr>
              <w:t xml:space="preserve"> con el reconocimiento de las víctimas desde diversas perspectivas pero con una intención transformadora. </w:t>
            </w:r>
          </w:p>
          <w:p w:rsidR="0091007F" w:rsidRDefault="00EE65C3">
            <w:pPr>
              <w:spacing w:after="10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La investigación va a incidir directamente en los colegios Luis Carlos </w:t>
            </w:r>
            <w:proofErr w:type="gramStart"/>
            <w:r>
              <w:rPr>
                <w:rFonts w:ascii="Times New Roman" w:eastAsia="Times New Roman" w:hAnsi="Times New Roman" w:cs="Times New Roman"/>
                <w:sz w:val="24"/>
                <w:szCs w:val="24"/>
              </w:rPr>
              <w:t>Galán  y</w:t>
            </w:r>
            <w:proofErr w:type="gramEnd"/>
            <w:r>
              <w:rPr>
                <w:rFonts w:ascii="Times New Roman" w:eastAsia="Times New Roman" w:hAnsi="Times New Roman" w:cs="Times New Roman"/>
                <w:sz w:val="24"/>
                <w:szCs w:val="24"/>
              </w:rPr>
              <w:t xml:space="preserve"> Dios es Amor de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comuna 4 en articulación con el programa “Escuelas Protectoras”  (URSU)., así como con  Comisión de la Verdad; desde la región, en las escuelas locales del Catatumbo, a través de convenios de cooperación con el  CISCA  (Comité de Integración Social del Catatumbo),  la Comisión de la Verdad del Norte de Santander y con la organización Minga como aliado estratégico. Se genera convenio de investigación con la Universidades de Granada, Departamento de Historia Contemporánea y  </w:t>
            </w:r>
            <w:proofErr w:type="spellStart"/>
            <w:r>
              <w:rPr>
                <w:rFonts w:ascii="Times New Roman" w:eastAsia="Times New Roman" w:hAnsi="Times New Roman" w:cs="Times New Roman"/>
                <w:sz w:val="24"/>
                <w:szCs w:val="24"/>
              </w:rPr>
              <w:t>Unipanamericana</w:t>
            </w:r>
            <w:proofErr w:type="spellEnd"/>
            <w:r>
              <w:rPr>
                <w:rFonts w:ascii="Times New Roman" w:eastAsia="Times New Roman" w:hAnsi="Times New Roman" w:cs="Times New Roman"/>
                <w:sz w:val="24"/>
                <w:szCs w:val="24"/>
              </w:rPr>
              <w:t>, Programa de Comunicación Social.</w:t>
            </w:r>
          </w:p>
        </w:tc>
      </w:tr>
      <w:tr w:rsidR="0091007F">
        <w:tc>
          <w:tcPr>
            <w:tcW w:w="749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Grupo de investigación</w:t>
            </w:r>
          </w:p>
        </w:tc>
        <w:tc>
          <w:tcPr>
            <w:tcW w:w="7492" w:type="dxa"/>
            <w:tcBorders>
              <w:top w:val="single" w:sz="6" w:space="0" w:color="DDDDDD"/>
              <w:left w:val="single" w:sz="6" w:space="0" w:color="DDDDDD"/>
              <w:bottom w:val="single" w:sz="6" w:space="0" w:color="DDDDDD"/>
              <w:right w:val="single" w:sz="6" w:space="0" w:color="DDDDDD"/>
            </w:tcBorders>
            <w:shd w:val="clear" w:color="auto" w:fill="F2F2F2"/>
            <w:vAlign w:val="center"/>
          </w:tcPr>
          <w:p w:rsidR="0091007F" w:rsidRDefault="00EE65C3">
            <w:pPr>
              <w:spacing w:after="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Línea de investigación en la que se inscribe el proyecto</w:t>
            </w:r>
          </w:p>
        </w:tc>
      </w:tr>
      <w:tr w:rsidR="0091007F">
        <w:tc>
          <w:tcPr>
            <w:tcW w:w="14983" w:type="dxa"/>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after="0"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Comunicación, paz-conflicto                                                                                     Comunicación, derechos y memoria.</w:t>
            </w:r>
          </w:p>
        </w:tc>
      </w:tr>
    </w:tbl>
    <w:p w:rsidR="0091007F" w:rsidRDefault="0091007F">
      <w:pPr>
        <w:spacing w:after="0" w:line="240" w:lineRule="auto"/>
        <w:rPr>
          <w:rFonts w:ascii="Times New Roman" w:eastAsia="Times New Roman" w:hAnsi="Times New Roman" w:cs="Times New Roman"/>
          <w:sz w:val="24"/>
          <w:szCs w:val="24"/>
        </w:rPr>
      </w:pPr>
    </w:p>
    <w:tbl>
      <w:tblPr>
        <w:tblStyle w:val="a0"/>
        <w:tblW w:w="14734" w:type="dxa"/>
        <w:tblInd w:w="0" w:type="dxa"/>
        <w:tblLayout w:type="fixed"/>
        <w:tblLook w:val="0400" w:firstRow="0" w:lastRow="0" w:firstColumn="0" w:lastColumn="0" w:noHBand="0" w:noVBand="1"/>
      </w:tblPr>
      <w:tblGrid>
        <w:gridCol w:w="3678"/>
        <w:gridCol w:w="3686"/>
        <w:gridCol w:w="3969"/>
        <w:gridCol w:w="3401"/>
      </w:tblGrid>
      <w:tr w:rsidR="0091007F">
        <w:trPr>
          <w:trHeight w:val="500"/>
        </w:trPr>
        <w:tc>
          <w:tcPr>
            <w:tcW w:w="3678"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Nombre del Investigador principal</w:t>
            </w:r>
          </w:p>
        </w:tc>
        <w:tc>
          <w:tcPr>
            <w:tcW w:w="3686"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Enlace </w:t>
            </w:r>
            <w:proofErr w:type="spellStart"/>
            <w:r>
              <w:rPr>
                <w:rFonts w:ascii="Times New Roman" w:eastAsia="Times New Roman" w:hAnsi="Times New Roman" w:cs="Times New Roman"/>
                <w:b/>
                <w:color w:val="222222"/>
                <w:sz w:val="24"/>
                <w:szCs w:val="24"/>
              </w:rPr>
              <w:t>CvLAC</w:t>
            </w:r>
            <w:proofErr w:type="spellEnd"/>
          </w:p>
        </w:tc>
        <w:tc>
          <w:tcPr>
            <w:tcW w:w="3969"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Enlace ORCID</w:t>
            </w:r>
          </w:p>
        </w:tc>
        <w:tc>
          <w:tcPr>
            <w:tcW w:w="3401"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Enlace Google Académico</w:t>
            </w:r>
          </w:p>
        </w:tc>
      </w:tr>
      <w:tr w:rsidR="0091007F">
        <w:trPr>
          <w:trHeight w:val="52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after="0"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Beatriz Eugenia Enciso B</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spacing w:after="0" w:line="240" w:lineRule="auto"/>
              <w:jc w:val="center"/>
              <w:rPr>
                <w:rFonts w:ascii="Times New Roman" w:eastAsia="Times New Roman" w:hAnsi="Times New Roman" w:cs="Times New Roman"/>
                <w:color w:val="222222"/>
                <w:sz w:val="16"/>
                <w:szCs w:val="16"/>
              </w:rPr>
            </w:pPr>
            <w:hyperlink r:id="rId8">
              <w:r w:rsidR="00EE65C3">
                <w:rPr>
                  <w:rFonts w:ascii="Times New Roman" w:eastAsia="Times New Roman" w:hAnsi="Times New Roman" w:cs="Times New Roman"/>
                  <w:color w:val="1155CC"/>
                  <w:sz w:val="16"/>
                  <w:szCs w:val="16"/>
                  <w:u w:val="single"/>
                </w:rPr>
                <w:t>http://scienti.colciencias.gov.co:8081/cvlac/visualizador/generarCurriculoCv.do?cod_rh=0001404433</w:t>
              </w:r>
            </w:hyperlink>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spacing w:after="0" w:line="240" w:lineRule="auto"/>
              <w:jc w:val="center"/>
              <w:rPr>
                <w:rFonts w:ascii="Times New Roman" w:eastAsia="Times New Roman" w:hAnsi="Times New Roman" w:cs="Times New Roman"/>
                <w:color w:val="222222"/>
                <w:sz w:val="16"/>
                <w:szCs w:val="16"/>
              </w:rPr>
            </w:pPr>
            <w:hyperlink r:id="rId9">
              <w:r w:rsidR="00EE65C3">
                <w:rPr>
                  <w:rFonts w:ascii="Times New Roman" w:eastAsia="Times New Roman" w:hAnsi="Times New Roman" w:cs="Times New Roman"/>
                  <w:color w:val="1155CC"/>
                  <w:sz w:val="16"/>
                  <w:szCs w:val="16"/>
                  <w:u w:val="single"/>
                </w:rPr>
                <w:t>https://orcid.org/0000-0001-5415-9250</w:t>
              </w:r>
            </w:hyperlink>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spacing w:after="0" w:line="240" w:lineRule="auto"/>
              <w:jc w:val="center"/>
              <w:rPr>
                <w:rFonts w:ascii="Times New Roman" w:eastAsia="Times New Roman" w:hAnsi="Times New Roman" w:cs="Times New Roman"/>
                <w:color w:val="222222"/>
                <w:sz w:val="16"/>
                <w:szCs w:val="16"/>
              </w:rPr>
            </w:pPr>
            <w:hyperlink r:id="rId10">
              <w:r w:rsidR="00EE65C3">
                <w:rPr>
                  <w:rFonts w:ascii="Times New Roman" w:eastAsia="Times New Roman" w:hAnsi="Times New Roman" w:cs="Times New Roman"/>
                  <w:color w:val="1155CC"/>
                  <w:sz w:val="16"/>
                  <w:szCs w:val="16"/>
                  <w:u w:val="single"/>
                </w:rPr>
                <w:t>https://scholar.google.es/citations?view_op=list_works&amp;hl=es&amp;user=luQPkg8AAAAJ</w:t>
              </w:r>
            </w:hyperlink>
          </w:p>
        </w:tc>
      </w:tr>
      <w:tr w:rsidR="0091007F">
        <w:trPr>
          <w:trHeight w:val="260"/>
        </w:trPr>
        <w:tc>
          <w:tcPr>
            <w:tcW w:w="367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División</w:t>
            </w:r>
          </w:p>
        </w:tc>
        <w:tc>
          <w:tcPr>
            <w:tcW w:w="3686"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Facultad</w:t>
            </w:r>
          </w:p>
        </w:tc>
        <w:tc>
          <w:tcPr>
            <w:tcW w:w="3969"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Programa</w:t>
            </w:r>
          </w:p>
        </w:tc>
        <w:tc>
          <w:tcPr>
            <w:tcW w:w="340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Grupo de investigación</w:t>
            </w:r>
          </w:p>
        </w:tc>
      </w:tr>
      <w:tr w:rsidR="0091007F">
        <w:trPr>
          <w:trHeight w:val="36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Ciencias sociales</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Comunicación Social </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Comunicación Social</w:t>
            </w:r>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Comunicación, paz-conflicto</w:t>
            </w:r>
          </w:p>
        </w:tc>
      </w:tr>
      <w:tr w:rsidR="0091007F">
        <w:trPr>
          <w:trHeight w:val="360"/>
        </w:trPr>
        <w:tc>
          <w:tcPr>
            <w:tcW w:w="367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Nombre del Co-investigador </w:t>
            </w:r>
          </w:p>
        </w:tc>
        <w:tc>
          <w:tcPr>
            <w:tcW w:w="3686"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Enlace </w:t>
            </w:r>
            <w:proofErr w:type="spellStart"/>
            <w:r>
              <w:rPr>
                <w:rFonts w:ascii="Times New Roman" w:eastAsia="Times New Roman" w:hAnsi="Times New Roman" w:cs="Times New Roman"/>
                <w:b/>
                <w:color w:val="222222"/>
                <w:sz w:val="24"/>
                <w:szCs w:val="24"/>
              </w:rPr>
              <w:t>CvLAC</w:t>
            </w:r>
            <w:proofErr w:type="spellEnd"/>
          </w:p>
        </w:tc>
        <w:tc>
          <w:tcPr>
            <w:tcW w:w="3969"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Enlace ORCID</w:t>
            </w:r>
          </w:p>
        </w:tc>
        <w:tc>
          <w:tcPr>
            <w:tcW w:w="340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Enlace Google Académico</w:t>
            </w:r>
          </w:p>
        </w:tc>
      </w:tr>
      <w:tr w:rsidR="0091007F">
        <w:trPr>
          <w:trHeight w:val="52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bookmarkStart w:id="0" w:name="_heading=h.gjdgxs" w:colFirst="0" w:colLast="0"/>
            <w:bookmarkEnd w:id="0"/>
            <w:r>
              <w:rPr>
                <w:rFonts w:ascii="Times New Roman" w:eastAsia="Times New Roman" w:hAnsi="Times New Roman" w:cs="Times New Roman"/>
                <w:color w:val="222222"/>
                <w:sz w:val="24"/>
                <w:szCs w:val="24"/>
              </w:rPr>
              <w:t>Fanny Stella Duque Gómez</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widowControl w:val="0"/>
              <w:spacing w:before="22" w:after="0" w:line="240" w:lineRule="auto"/>
              <w:ind w:left="141"/>
              <w:jc w:val="both"/>
              <w:rPr>
                <w:rFonts w:ascii="Times New Roman" w:eastAsia="Times New Roman" w:hAnsi="Times New Roman" w:cs="Times New Roman"/>
                <w:b/>
                <w:color w:val="222222"/>
                <w:sz w:val="24"/>
                <w:szCs w:val="24"/>
              </w:rPr>
            </w:pPr>
            <w:hyperlink r:id="rId11">
              <w:r w:rsidR="00EE65C3">
                <w:rPr>
                  <w:color w:val="1155CC"/>
                  <w:u w:val="single"/>
                </w:rPr>
                <w:t>http://scienti.colciencias.gov.co:8081/cvlac/visualizador/generarCurriculoCv.do?cod_rh=0001217127</w:t>
              </w:r>
            </w:hyperlink>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widowControl w:val="0"/>
              <w:spacing w:after="0" w:line="240" w:lineRule="auto"/>
              <w:ind w:left="141"/>
              <w:rPr>
                <w:color w:val="494A4C"/>
                <w:highlight w:val="white"/>
              </w:rPr>
            </w:pPr>
            <w:hyperlink r:id="rId12">
              <w:r w:rsidR="00EE65C3">
                <w:rPr>
                  <w:color w:val="1155CC"/>
                  <w:highlight w:val="white"/>
                  <w:u w:val="single"/>
                </w:rPr>
                <w:t>https://orcid.org/0000-0001-9829-8615</w:t>
              </w:r>
            </w:hyperlink>
          </w:p>
          <w:p w:rsidR="0091007F" w:rsidRDefault="0091007F">
            <w:pPr>
              <w:widowControl w:val="0"/>
              <w:spacing w:after="0" w:line="240" w:lineRule="auto"/>
              <w:ind w:left="141"/>
              <w:rPr>
                <w:color w:val="494A4C"/>
                <w:highlight w:val="white"/>
              </w:rPr>
            </w:pPr>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widowControl w:val="0"/>
              <w:spacing w:after="0" w:line="256" w:lineRule="auto"/>
              <w:ind w:left="141" w:right="98"/>
              <w:rPr>
                <w:rFonts w:ascii="Times New Roman" w:eastAsia="Times New Roman" w:hAnsi="Times New Roman" w:cs="Times New Roman"/>
                <w:b/>
                <w:color w:val="222222"/>
                <w:sz w:val="24"/>
                <w:szCs w:val="24"/>
              </w:rPr>
            </w:pPr>
            <w:hyperlink r:id="rId13">
              <w:r w:rsidR="00EE65C3">
                <w:rPr>
                  <w:color w:val="1155CC"/>
                  <w:u w:val="single"/>
                </w:rPr>
                <w:t>https://scholar.google.es/citations?hl=es&amp;user=CPrWu_gAAAAJ</w:t>
              </w:r>
            </w:hyperlink>
          </w:p>
        </w:tc>
      </w:tr>
      <w:tr w:rsidR="0091007F">
        <w:trPr>
          <w:trHeight w:val="360"/>
        </w:trPr>
        <w:tc>
          <w:tcPr>
            <w:tcW w:w="367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División</w:t>
            </w:r>
          </w:p>
        </w:tc>
        <w:tc>
          <w:tcPr>
            <w:tcW w:w="3686"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Facultad</w:t>
            </w:r>
          </w:p>
        </w:tc>
        <w:tc>
          <w:tcPr>
            <w:tcW w:w="3969"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Programa</w:t>
            </w:r>
          </w:p>
        </w:tc>
        <w:tc>
          <w:tcPr>
            <w:tcW w:w="340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Grupo de investigación</w:t>
            </w:r>
          </w:p>
        </w:tc>
      </w:tr>
      <w:tr w:rsidR="0091007F">
        <w:trPr>
          <w:trHeight w:val="36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91007F" w:rsidRDefault="00EE65C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Ciencias sociales</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91007F" w:rsidRDefault="00EE65C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Comunicación Social</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91007F" w:rsidRDefault="00EE65C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Comunicación Social</w:t>
            </w:r>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91007F" w:rsidRDefault="00EE65C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Comunicación, paz-conflicto</w:t>
            </w:r>
          </w:p>
        </w:tc>
      </w:tr>
      <w:tr w:rsidR="0091007F">
        <w:trPr>
          <w:trHeight w:val="520"/>
        </w:trPr>
        <w:tc>
          <w:tcPr>
            <w:tcW w:w="367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Nombre del Co-investigador </w:t>
            </w:r>
          </w:p>
        </w:tc>
        <w:tc>
          <w:tcPr>
            <w:tcW w:w="3686"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Enlace </w:t>
            </w:r>
            <w:proofErr w:type="spellStart"/>
            <w:r>
              <w:rPr>
                <w:rFonts w:ascii="Times New Roman" w:eastAsia="Times New Roman" w:hAnsi="Times New Roman" w:cs="Times New Roman"/>
                <w:b/>
                <w:color w:val="222222"/>
                <w:sz w:val="24"/>
                <w:szCs w:val="24"/>
              </w:rPr>
              <w:t>CvLAC</w:t>
            </w:r>
            <w:proofErr w:type="spellEnd"/>
          </w:p>
        </w:tc>
        <w:tc>
          <w:tcPr>
            <w:tcW w:w="3969"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Enlace ORCID</w:t>
            </w:r>
          </w:p>
        </w:tc>
        <w:tc>
          <w:tcPr>
            <w:tcW w:w="340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Enlace Google Académico</w:t>
            </w:r>
          </w:p>
        </w:tc>
      </w:tr>
      <w:tr w:rsidR="0091007F">
        <w:trPr>
          <w:trHeight w:val="52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Iván René León Garzón</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spacing w:after="0" w:line="240" w:lineRule="auto"/>
              <w:rPr>
                <w:rFonts w:ascii="Times New Roman" w:eastAsia="Times New Roman" w:hAnsi="Times New Roman" w:cs="Times New Roman"/>
                <w:b/>
                <w:color w:val="222222"/>
                <w:sz w:val="24"/>
                <w:szCs w:val="24"/>
              </w:rPr>
            </w:pPr>
            <w:hyperlink r:id="rId14">
              <w:r w:rsidR="00EE65C3">
                <w:rPr>
                  <w:color w:val="222222"/>
                  <w:sz w:val="16"/>
                  <w:szCs w:val="16"/>
                </w:rPr>
                <w:t>http://scienti.colciencias.gov.co:8081/cvlac/visualizador/generarCurriculoCv.do?cod_rh=0000006805</w:t>
              </w:r>
            </w:hyperlink>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spacing w:after="0" w:line="240" w:lineRule="auto"/>
              <w:rPr>
                <w:rFonts w:ascii="Times New Roman" w:eastAsia="Times New Roman" w:hAnsi="Times New Roman" w:cs="Times New Roman"/>
                <w:b/>
                <w:color w:val="222222"/>
                <w:sz w:val="24"/>
                <w:szCs w:val="24"/>
              </w:rPr>
            </w:pPr>
            <w:hyperlink r:id="rId15">
              <w:r w:rsidR="00EE65C3">
                <w:rPr>
                  <w:color w:val="222222"/>
                  <w:sz w:val="16"/>
                  <w:szCs w:val="16"/>
                </w:rPr>
                <w:t>https://orcid.org/0000-0001-5051-8113</w:t>
              </w:r>
            </w:hyperlink>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850D47">
            <w:pPr>
              <w:spacing w:after="0" w:line="240" w:lineRule="auto"/>
              <w:rPr>
                <w:color w:val="222222"/>
                <w:sz w:val="16"/>
                <w:szCs w:val="16"/>
              </w:rPr>
            </w:pPr>
            <w:hyperlink r:id="rId16">
              <w:r w:rsidR="00EE65C3">
                <w:rPr>
                  <w:color w:val="1155CC"/>
                  <w:sz w:val="16"/>
                  <w:szCs w:val="16"/>
                  <w:u w:val="single"/>
                </w:rPr>
                <w:t>https://scholar.google.es/citations?user=K0IcGFYAAAAJ&amp;hl=es</w:t>
              </w:r>
            </w:hyperlink>
          </w:p>
          <w:p w:rsidR="0091007F" w:rsidRDefault="0091007F">
            <w:pPr>
              <w:spacing w:after="0" w:line="240" w:lineRule="auto"/>
              <w:rPr>
                <w:color w:val="222222"/>
                <w:sz w:val="16"/>
                <w:szCs w:val="16"/>
              </w:rPr>
            </w:pPr>
          </w:p>
        </w:tc>
      </w:tr>
      <w:tr w:rsidR="0091007F">
        <w:trPr>
          <w:trHeight w:val="30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División</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Facultad</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Programa</w:t>
            </w:r>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Grupo de investigación</w:t>
            </w:r>
          </w:p>
        </w:tc>
      </w:tr>
      <w:tr w:rsidR="0091007F">
        <w:trPr>
          <w:trHeight w:val="360"/>
        </w:trPr>
        <w:tc>
          <w:tcPr>
            <w:tcW w:w="367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Ciencias sociales</w:t>
            </w:r>
          </w:p>
        </w:tc>
        <w:tc>
          <w:tcPr>
            <w:tcW w:w="3686"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Comunicación Social </w:t>
            </w:r>
          </w:p>
        </w:tc>
        <w:tc>
          <w:tcPr>
            <w:tcW w:w="396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Comunicación Social</w:t>
            </w:r>
          </w:p>
        </w:tc>
        <w:tc>
          <w:tcPr>
            <w:tcW w:w="340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Comunicación, paz-conflicto</w:t>
            </w:r>
          </w:p>
        </w:tc>
      </w:tr>
    </w:tbl>
    <w:p w:rsidR="0091007F" w:rsidRDefault="0091007F">
      <w:pPr>
        <w:spacing w:after="0" w:line="240" w:lineRule="auto"/>
        <w:rPr>
          <w:rFonts w:ascii="Times New Roman" w:eastAsia="Times New Roman" w:hAnsi="Times New Roman" w:cs="Times New Roman"/>
          <w:sz w:val="24"/>
          <w:szCs w:val="24"/>
        </w:rPr>
      </w:pPr>
    </w:p>
    <w:tbl>
      <w:tblPr>
        <w:tblStyle w:val="a1"/>
        <w:tblW w:w="14983" w:type="dxa"/>
        <w:tblInd w:w="0" w:type="dxa"/>
        <w:tblLayout w:type="fixed"/>
        <w:tblLook w:val="0400" w:firstRow="0" w:lastRow="0" w:firstColumn="0" w:lastColumn="0" w:noHBand="0" w:noVBand="1"/>
      </w:tblPr>
      <w:tblGrid>
        <w:gridCol w:w="10923"/>
        <w:gridCol w:w="4060"/>
      </w:tblGrid>
      <w:tr w:rsidR="0091007F">
        <w:tc>
          <w:tcPr>
            <w:tcW w:w="1092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Resumen de la propuesta</w:t>
            </w:r>
          </w:p>
        </w:tc>
        <w:tc>
          <w:tcPr>
            <w:tcW w:w="4060"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Palabras clave</w:t>
            </w:r>
          </w:p>
        </w:tc>
      </w:tr>
      <w:tr w:rsidR="0091007F">
        <w:tc>
          <w:tcPr>
            <w:tcW w:w="1092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91007F">
            <w:pPr>
              <w:widowControl w:val="0"/>
              <w:pBdr>
                <w:top w:val="nil"/>
                <w:left w:val="nil"/>
                <w:bottom w:val="nil"/>
                <w:right w:val="nil"/>
                <w:between w:val="nil"/>
              </w:pBdr>
              <w:spacing w:after="0" w:line="276" w:lineRule="auto"/>
              <w:rPr>
                <w:rFonts w:ascii="Times New Roman" w:eastAsia="Times New Roman" w:hAnsi="Times New Roman" w:cs="Times New Roman"/>
                <w:b/>
                <w:color w:val="222222"/>
                <w:sz w:val="24"/>
                <w:szCs w:val="24"/>
              </w:rPr>
            </w:pPr>
          </w:p>
          <w:tbl>
            <w:tblPr>
              <w:tblStyle w:val="a2"/>
              <w:tblW w:w="108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83"/>
            </w:tblGrid>
            <w:tr w:rsidR="0091007F">
              <w:trPr>
                <w:trHeight w:val="5860"/>
                <w:jc w:val="center"/>
              </w:trPr>
              <w:tc>
                <w:tcPr>
                  <w:tcW w:w="10883" w:type="dxa"/>
                  <w:tcBorders>
                    <w:top w:val="single" w:sz="4" w:space="0" w:color="000000"/>
                    <w:left w:val="single" w:sz="4" w:space="0" w:color="000000"/>
                    <w:bottom w:val="single" w:sz="4" w:space="0" w:color="000000"/>
                    <w:right w:val="single" w:sz="4" w:space="0" w:color="000000"/>
                  </w:tcBorders>
                  <w:vAlign w:val="center"/>
                </w:tcPr>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 verdad se constituye como el derecho individual y colectivo de reconocimiento de las circunstancias de modo o lugar de los crímenes atroces, así como la reconstrucción de narrativas históricas de los delitos analizados. Junto con la reconstrucción de la memoria se consolidan como elementos imperativos dentro de procesos transicionales o de pos acuerdo como es el caso </w:t>
                  </w:r>
                  <w:proofErr w:type="gramStart"/>
                  <w:r>
                    <w:rPr>
                      <w:rFonts w:ascii="Times New Roman" w:eastAsia="Times New Roman" w:hAnsi="Times New Roman" w:cs="Times New Roman"/>
                      <w:sz w:val="24"/>
                      <w:szCs w:val="24"/>
                    </w:rPr>
                    <w:t>colombiano  y</w:t>
                  </w:r>
                  <w:proofErr w:type="gramEnd"/>
                  <w:r>
                    <w:rPr>
                      <w:rFonts w:ascii="Times New Roman" w:eastAsia="Times New Roman" w:hAnsi="Times New Roman" w:cs="Times New Roman"/>
                      <w:sz w:val="24"/>
                      <w:szCs w:val="24"/>
                    </w:rPr>
                    <w:t xml:space="preserve"> son fundamentales para la adquisición de los otros derechos (justicia, reparación y no repetición). Es un aporte a la consolidación de </w:t>
                  </w:r>
                  <w:proofErr w:type="gramStart"/>
                  <w:r>
                    <w:rPr>
                      <w:rFonts w:ascii="Times New Roman" w:eastAsia="Times New Roman" w:hAnsi="Times New Roman" w:cs="Times New Roman"/>
                      <w:sz w:val="24"/>
                      <w:szCs w:val="24"/>
                    </w:rPr>
                    <w:t>la  paz</w:t>
                  </w:r>
                  <w:proofErr w:type="gramEnd"/>
                  <w:r>
                    <w:rPr>
                      <w:rFonts w:ascii="Times New Roman" w:eastAsia="Times New Roman" w:hAnsi="Times New Roman" w:cs="Times New Roman"/>
                      <w:sz w:val="24"/>
                      <w:szCs w:val="24"/>
                    </w:rPr>
                    <w:t xml:space="preserve">  y la reconciliación.</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 embargo, no surtirá verdaderos frutos si la búsqueda de este derecho se constituye sólo en los estrados judiciales o los entes extrajudiciales (Comisiones); es necesario concientizar a las nuevas generaciones de su importancia. Es así, como sólo la planeación, estructuración e implementación de estrategias </w:t>
                  </w:r>
                  <w:proofErr w:type="gramStart"/>
                  <w:r>
                    <w:rPr>
                      <w:rFonts w:ascii="Times New Roman" w:eastAsia="Times New Roman" w:hAnsi="Times New Roman" w:cs="Times New Roman"/>
                      <w:sz w:val="24"/>
                      <w:szCs w:val="24"/>
                    </w:rPr>
                    <w:t>pedagógicas  que</w:t>
                  </w:r>
                  <w:proofErr w:type="gramEnd"/>
                  <w:r>
                    <w:rPr>
                      <w:rFonts w:ascii="Times New Roman" w:eastAsia="Times New Roman" w:hAnsi="Times New Roman" w:cs="Times New Roman"/>
                      <w:sz w:val="24"/>
                      <w:szCs w:val="24"/>
                    </w:rPr>
                    <w:t xml:space="preserve"> promuevan la búsqueda de la verdad y la reconstrucción de la memoria, serán uno de los garantes del cumplimiento de dicho derecho. </w:t>
                  </w:r>
                </w:p>
                <w:p w:rsidR="0091007F" w:rsidRDefault="00EE65C3">
                  <w:pPr>
                    <w:spacing w:after="10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Se  identificarán</w:t>
                  </w:r>
                  <w:proofErr w:type="gramEnd"/>
                  <w:r>
                    <w:rPr>
                      <w:rFonts w:ascii="Times New Roman" w:eastAsia="Times New Roman" w:hAnsi="Times New Roman" w:cs="Times New Roman"/>
                      <w:sz w:val="24"/>
                      <w:szCs w:val="24"/>
                    </w:rPr>
                    <w:t xml:space="preserve"> entonces las experiencias de reconciliación  y paz desarrolladas a partir de la recuperación  de la verdad y la reconstrucción de la memoria  en dos frentes: en escuelas del Catatumbo en territorio,  y desde lo suburbano y en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lo anterior con la intencionalidad de diseñar, a partir de dichas experiencias, herramientas </w:t>
                  </w:r>
                  <w:proofErr w:type="spellStart"/>
                  <w:r>
                    <w:rPr>
                      <w:rFonts w:ascii="Times New Roman" w:eastAsia="Times New Roman" w:hAnsi="Times New Roman" w:cs="Times New Roman"/>
                      <w:sz w:val="24"/>
                      <w:szCs w:val="24"/>
                    </w:rPr>
                    <w:t>educomunicativas</w:t>
                  </w:r>
                  <w:proofErr w:type="spellEnd"/>
                  <w:r>
                    <w:rPr>
                      <w:rFonts w:ascii="Times New Roman" w:eastAsia="Times New Roman" w:hAnsi="Times New Roman" w:cs="Times New Roman"/>
                      <w:sz w:val="24"/>
                      <w:szCs w:val="24"/>
                    </w:rPr>
                    <w:t xml:space="preserve"> de fácil utilización en instituciones educativas en el marco de las cátedra de la paz. </w:t>
                  </w:r>
                </w:p>
              </w:tc>
            </w:tr>
            <w:tr w:rsidR="0091007F">
              <w:trPr>
                <w:trHeight w:val="60"/>
                <w:jc w:val="center"/>
              </w:trPr>
              <w:tc>
                <w:tcPr>
                  <w:tcW w:w="10883" w:type="dxa"/>
                  <w:tcBorders>
                    <w:top w:val="single" w:sz="4" w:space="0" w:color="000000"/>
                    <w:left w:val="single" w:sz="4" w:space="0" w:color="000000"/>
                    <w:bottom w:val="single" w:sz="4" w:space="0" w:color="000000"/>
                    <w:right w:val="single" w:sz="4" w:space="0" w:color="000000"/>
                  </w:tcBorders>
                  <w:vAlign w:val="center"/>
                </w:tcPr>
                <w:p w:rsidR="0091007F" w:rsidRDefault="0091007F">
                  <w:pPr>
                    <w:shd w:val="clear" w:color="auto" w:fill="FFFFFF"/>
                    <w:spacing w:line="276" w:lineRule="auto"/>
                    <w:rPr>
                      <w:rFonts w:ascii="Times New Roman" w:eastAsia="Times New Roman" w:hAnsi="Times New Roman" w:cs="Times New Roman"/>
                      <w:sz w:val="24"/>
                      <w:szCs w:val="24"/>
                    </w:rPr>
                  </w:pPr>
                </w:p>
              </w:tc>
            </w:tr>
          </w:tbl>
          <w:p w:rsidR="0091007F" w:rsidRDefault="0091007F">
            <w:pPr>
              <w:spacing w:after="0" w:line="240" w:lineRule="auto"/>
              <w:jc w:val="both"/>
              <w:rPr>
                <w:rFonts w:ascii="Times New Roman" w:eastAsia="Times New Roman" w:hAnsi="Times New Roman" w:cs="Times New Roman"/>
                <w:color w:val="222222"/>
                <w:sz w:val="24"/>
                <w:szCs w:val="24"/>
              </w:rPr>
            </w:pPr>
          </w:p>
        </w:tc>
        <w:tc>
          <w:tcPr>
            <w:tcW w:w="40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lastRenderedPageBreak/>
              <w:t xml:space="preserve">Verdad, memoria, Comisiones de la verdad, estrategias </w:t>
            </w:r>
            <w:proofErr w:type="spellStart"/>
            <w:r>
              <w:rPr>
                <w:rFonts w:ascii="Times New Roman" w:eastAsia="Times New Roman" w:hAnsi="Times New Roman" w:cs="Times New Roman"/>
                <w:sz w:val="24"/>
                <w:szCs w:val="24"/>
              </w:rPr>
              <w:t>educomunicativas</w:t>
            </w:r>
            <w:proofErr w:type="spellEnd"/>
            <w:r>
              <w:rPr>
                <w:rFonts w:ascii="Times New Roman" w:eastAsia="Times New Roman" w:hAnsi="Times New Roman" w:cs="Times New Roman"/>
                <w:sz w:val="24"/>
                <w:szCs w:val="24"/>
              </w:rPr>
              <w:t>, cultura de paz.</w:t>
            </w:r>
          </w:p>
        </w:tc>
      </w:tr>
    </w:tbl>
    <w:p w:rsidR="0091007F" w:rsidRDefault="0091007F">
      <w:pPr>
        <w:spacing w:after="0" w:line="240" w:lineRule="auto"/>
        <w:rPr>
          <w:rFonts w:ascii="Times New Roman" w:eastAsia="Times New Roman" w:hAnsi="Times New Roman" w:cs="Times New Roman"/>
          <w:sz w:val="24"/>
          <w:szCs w:val="24"/>
        </w:rPr>
      </w:pPr>
    </w:p>
    <w:tbl>
      <w:tblPr>
        <w:tblStyle w:val="a3"/>
        <w:tblW w:w="14983" w:type="dxa"/>
        <w:tblInd w:w="0" w:type="dxa"/>
        <w:tblLayout w:type="fixed"/>
        <w:tblLook w:val="0400" w:firstRow="0" w:lastRow="0" w:firstColumn="0" w:lastColumn="0" w:noHBand="0" w:noVBand="1"/>
      </w:tblPr>
      <w:tblGrid>
        <w:gridCol w:w="14983"/>
      </w:tblGrid>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Problema de investigación</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El esclarecimiento de la </w:t>
            </w:r>
            <w:proofErr w:type="gramStart"/>
            <w:r>
              <w:rPr>
                <w:rFonts w:ascii="Times New Roman" w:eastAsia="Times New Roman" w:hAnsi="Times New Roman" w:cs="Times New Roman"/>
                <w:color w:val="333333"/>
                <w:sz w:val="24"/>
                <w:szCs w:val="24"/>
              </w:rPr>
              <w:t xml:space="preserve">verdad  </w:t>
            </w:r>
            <w:r w:rsidR="001D5DF5">
              <w:rPr>
                <w:rFonts w:ascii="Times New Roman" w:eastAsia="Times New Roman" w:hAnsi="Times New Roman" w:cs="Times New Roman"/>
                <w:color w:val="333333"/>
                <w:sz w:val="24"/>
                <w:szCs w:val="24"/>
              </w:rPr>
              <w:t>es</w:t>
            </w:r>
            <w:proofErr w:type="gramEnd"/>
            <w:r w:rsidR="001D5DF5">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 xml:space="preserve">imprescindible cuando se busca lograr la paz estable y constituir procesos de cambio social.  Es a través de ésta, apoyada en los marcos de reconstrucción de la memoria, donde se disminuyen las tensiones y rencores entre los diferentes grupos que se vieron abocados a enfrentar los estragos del conflicto armado.  Sólo cuando se consigue reconstruir el pasado a partir de las narrativas de los actores del </w:t>
            </w:r>
            <w:proofErr w:type="gramStart"/>
            <w:r>
              <w:rPr>
                <w:rFonts w:ascii="Times New Roman" w:eastAsia="Times New Roman" w:hAnsi="Times New Roman" w:cs="Times New Roman"/>
                <w:color w:val="333333"/>
                <w:sz w:val="24"/>
                <w:szCs w:val="24"/>
              </w:rPr>
              <w:t>conflicto,  las</w:t>
            </w:r>
            <w:proofErr w:type="gramEnd"/>
            <w:r>
              <w:rPr>
                <w:rFonts w:ascii="Times New Roman" w:eastAsia="Times New Roman" w:hAnsi="Times New Roman" w:cs="Times New Roman"/>
                <w:color w:val="333333"/>
                <w:sz w:val="24"/>
                <w:szCs w:val="24"/>
              </w:rPr>
              <w:t xml:space="preserve"> víctimas y la población civil,  se puede aspirar  a un futuro digno y justo.</w:t>
            </w:r>
          </w:p>
          <w:p w:rsidR="0091007F" w:rsidRDefault="0091007F">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333333"/>
                <w:sz w:val="24"/>
                <w:szCs w:val="24"/>
              </w:rPr>
            </w:pPr>
          </w:p>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Es así como se vuelve imprescindible la búsqueda de herramientas que empoderen estos </w:t>
            </w:r>
            <w:proofErr w:type="gramStart"/>
            <w:r>
              <w:rPr>
                <w:rFonts w:ascii="Times New Roman" w:eastAsia="Times New Roman" w:hAnsi="Times New Roman" w:cs="Times New Roman"/>
                <w:color w:val="333333"/>
                <w:sz w:val="24"/>
                <w:szCs w:val="24"/>
              </w:rPr>
              <w:t>elementos  no</w:t>
            </w:r>
            <w:proofErr w:type="gramEnd"/>
            <w:r>
              <w:rPr>
                <w:rFonts w:ascii="Times New Roman" w:eastAsia="Times New Roman" w:hAnsi="Times New Roman" w:cs="Times New Roman"/>
                <w:color w:val="333333"/>
                <w:sz w:val="24"/>
                <w:szCs w:val="24"/>
              </w:rPr>
              <w:t xml:space="preserve"> sólo entre aquellos que se vieron afectados de una y otra manera por el conflicto, sino sobre todo a las nuevas generaciones que son quienes realmente absorberán  los resultados del pos acuerdo en el país. Para esto es necesario constituir unos marcos de cultura de paz que conllevan esquemas más democráticos, justos, dignos, tolerantes e inclusivos. Pero esto sólo se consigue a través del diseños y estrategias </w:t>
            </w:r>
            <w:proofErr w:type="spellStart"/>
            <w:r>
              <w:rPr>
                <w:rFonts w:ascii="Times New Roman" w:eastAsia="Times New Roman" w:hAnsi="Times New Roman" w:cs="Times New Roman"/>
                <w:color w:val="333333"/>
                <w:sz w:val="24"/>
                <w:szCs w:val="24"/>
              </w:rPr>
              <w:t>educomunicativas</w:t>
            </w:r>
            <w:proofErr w:type="spellEnd"/>
            <w:r>
              <w:rPr>
                <w:rFonts w:ascii="Times New Roman" w:eastAsia="Times New Roman" w:hAnsi="Times New Roman" w:cs="Times New Roman"/>
                <w:color w:val="333333"/>
                <w:sz w:val="24"/>
                <w:szCs w:val="24"/>
              </w:rPr>
              <w:t xml:space="preserve"> que apunten a lo anterior. Sólo así es posible pensar en la consolidación de la paz y la reconciliación sobre la base de la verdad. </w:t>
            </w:r>
          </w:p>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 xml:space="preserve">Pero, ¿por dónde </w:t>
            </w:r>
            <w:proofErr w:type="gramStart"/>
            <w:r>
              <w:rPr>
                <w:rFonts w:ascii="Times New Roman" w:eastAsia="Times New Roman" w:hAnsi="Times New Roman" w:cs="Times New Roman"/>
                <w:color w:val="333333"/>
                <w:sz w:val="24"/>
                <w:szCs w:val="24"/>
              </w:rPr>
              <w:t>comenzar?.</w:t>
            </w:r>
            <w:proofErr w:type="gramEnd"/>
            <w:r>
              <w:rPr>
                <w:rFonts w:ascii="Times New Roman" w:eastAsia="Times New Roman" w:hAnsi="Times New Roman" w:cs="Times New Roman"/>
                <w:color w:val="333333"/>
                <w:sz w:val="24"/>
                <w:szCs w:val="24"/>
              </w:rPr>
              <w:t xml:space="preserve"> Es fundamental entender cómo se están </w:t>
            </w:r>
            <w:proofErr w:type="gramStart"/>
            <w:r w:rsidR="001D5DF5">
              <w:rPr>
                <w:rFonts w:ascii="Times New Roman" w:eastAsia="Times New Roman" w:hAnsi="Times New Roman" w:cs="Times New Roman"/>
                <w:color w:val="333333"/>
                <w:sz w:val="24"/>
                <w:szCs w:val="24"/>
              </w:rPr>
              <w:t xml:space="preserve">empezando </w:t>
            </w:r>
            <w:r>
              <w:rPr>
                <w:rFonts w:ascii="Times New Roman" w:eastAsia="Times New Roman" w:hAnsi="Times New Roman" w:cs="Times New Roman"/>
                <w:color w:val="333333"/>
                <w:sz w:val="24"/>
                <w:szCs w:val="24"/>
              </w:rPr>
              <w:t xml:space="preserve"> a</w:t>
            </w:r>
            <w:proofErr w:type="gramEnd"/>
            <w:r>
              <w:rPr>
                <w:rFonts w:ascii="Times New Roman" w:eastAsia="Times New Roman" w:hAnsi="Times New Roman" w:cs="Times New Roman"/>
                <w:color w:val="333333"/>
                <w:sz w:val="24"/>
                <w:szCs w:val="24"/>
              </w:rPr>
              <w:t xml:space="preserve"> hacer ejercicios de esclarecimiento de la verdad y reconstrucción de la memoria desde las comunidades afectadas por el conflicto armado, teniendo en cuenta la disparidad de relatos y circunstancias entre los espacios suburbanos y las regiones. En este primer ejercicio de acercamiento, abarcamos dos frentes específicos como son Altos de </w:t>
            </w:r>
            <w:proofErr w:type="spellStart"/>
            <w:r>
              <w:rPr>
                <w:rFonts w:ascii="Times New Roman" w:eastAsia="Times New Roman" w:hAnsi="Times New Roman" w:cs="Times New Roman"/>
                <w:color w:val="333333"/>
                <w:sz w:val="24"/>
                <w:szCs w:val="24"/>
              </w:rPr>
              <w:t>Cazucá</w:t>
            </w:r>
            <w:proofErr w:type="spellEnd"/>
            <w:r>
              <w:rPr>
                <w:rFonts w:ascii="Times New Roman" w:eastAsia="Times New Roman" w:hAnsi="Times New Roman" w:cs="Times New Roman"/>
                <w:color w:val="333333"/>
                <w:sz w:val="24"/>
                <w:szCs w:val="24"/>
              </w:rPr>
              <w:t xml:space="preserve"> Comuna 4 (Soacha, Cundinamarca) y Catatumbo desde el CISCA. La elección de estos frentes comunitarios corresponde a la cercanía y afectación directa de estos por el conflicto armado así:  Altos de </w:t>
            </w:r>
            <w:proofErr w:type="spellStart"/>
            <w:r>
              <w:rPr>
                <w:rFonts w:ascii="Times New Roman" w:eastAsia="Times New Roman" w:hAnsi="Times New Roman" w:cs="Times New Roman"/>
                <w:color w:val="333333"/>
                <w:sz w:val="24"/>
                <w:szCs w:val="24"/>
              </w:rPr>
              <w:t>Cazucá</w:t>
            </w:r>
            <w:proofErr w:type="spellEnd"/>
            <w:r>
              <w:rPr>
                <w:rFonts w:ascii="Times New Roman" w:eastAsia="Times New Roman" w:hAnsi="Times New Roman" w:cs="Times New Roman"/>
                <w:color w:val="333333"/>
                <w:sz w:val="24"/>
                <w:szCs w:val="24"/>
              </w:rPr>
              <w:t xml:space="preserve"> está fuertemente poblada por víctimas del desplazamiento forzado y sus condiciones no legales lo empujan hacia marcos de violencia y criminalidad reconocidos a nivel local y departamental.   </w:t>
            </w:r>
          </w:p>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Con relación al sector del Catatumbo, éste se considera una zona adecuada para el cultivo de hoja de coca lo que ha llevado a la aparición de laboratorios de procesamiento y las consiguientes confrontaciones entre los grupos ilegales y la fuerza pública. Dentro del territorio han tenido presencia actores armados como el Bloque Catatumbo que al desmovilizarse da apertura a bandas criminales como Los </w:t>
            </w:r>
            <w:proofErr w:type="spellStart"/>
            <w:r>
              <w:rPr>
                <w:rFonts w:ascii="Times New Roman" w:eastAsia="Times New Roman" w:hAnsi="Times New Roman" w:cs="Times New Roman"/>
                <w:color w:val="333333"/>
                <w:sz w:val="24"/>
                <w:szCs w:val="24"/>
              </w:rPr>
              <w:t>urabeños</w:t>
            </w:r>
            <w:proofErr w:type="spellEnd"/>
            <w:r>
              <w:rPr>
                <w:rFonts w:ascii="Times New Roman" w:eastAsia="Times New Roman" w:hAnsi="Times New Roman" w:cs="Times New Roman"/>
                <w:color w:val="333333"/>
                <w:sz w:val="24"/>
                <w:szCs w:val="24"/>
              </w:rPr>
              <w:t xml:space="preserve">, Los rastrojos, las águilas negras; y grupos guerrilleros como las FARC, el ELN y el EPL. </w:t>
            </w:r>
          </w:p>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Pregunta de investigación: </w:t>
            </w:r>
          </w:p>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333333"/>
                <w:sz w:val="24"/>
                <w:szCs w:val="24"/>
              </w:rPr>
              <w:t xml:space="preserve">¿Cómo </w:t>
            </w:r>
            <w:r w:rsidR="001D5DF5">
              <w:rPr>
                <w:rFonts w:ascii="Times New Roman" w:eastAsia="Times New Roman" w:hAnsi="Times New Roman" w:cs="Times New Roman"/>
                <w:color w:val="333333"/>
                <w:sz w:val="24"/>
                <w:szCs w:val="24"/>
              </w:rPr>
              <w:t xml:space="preserve">los quehaceres, </w:t>
            </w:r>
            <w:r>
              <w:rPr>
                <w:rFonts w:ascii="Times New Roman" w:eastAsia="Times New Roman" w:hAnsi="Times New Roman" w:cs="Times New Roman"/>
                <w:color w:val="333333"/>
                <w:sz w:val="24"/>
                <w:szCs w:val="24"/>
              </w:rPr>
              <w:t xml:space="preserve">las narrativas y relatos en torno a la recuperación de la verdad y reconstrucción de la memoria en Altos de </w:t>
            </w:r>
            <w:proofErr w:type="spellStart"/>
            <w:r>
              <w:rPr>
                <w:rFonts w:ascii="Times New Roman" w:eastAsia="Times New Roman" w:hAnsi="Times New Roman" w:cs="Times New Roman"/>
                <w:color w:val="333333"/>
                <w:sz w:val="24"/>
                <w:szCs w:val="24"/>
              </w:rPr>
              <w:t>Cazucá</w:t>
            </w:r>
            <w:proofErr w:type="spellEnd"/>
            <w:r>
              <w:rPr>
                <w:rFonts w:ascii="Times New Roman" w:eastAsia="Times New Roman" w:hAnsi="Times New Roman" w:cs="Times New Roman"/>
                <w:color w:val="333333"/>
                <w:sz w:val="24"/>
                <w:szCs w:val="24"/>
              </w:rPr>
              <w:t xml:space="preserve"> y Catatumbo,  consolidan procesos de reconciliación y paz en sus territorios y aportan a la elaboración de estrategias </w:t>
            </w:r>
            <w:proofErr w:type="spellStart"/>
            <w:r>
              <w:rPr>
                <w:rFonts w:ascii="Times New Roman" w:eastAsia="Times New Roman" w:hAnsi="Times New Roman" w:cs="Times New Roman"/>
                <w:color w:val="333333"/>
                <w:sz w:val="24"/>
                <w:szCs w:val="24"/>
              </w:rPr>
              <w:t>educomunicativas</w:t>
            </w:r>
            <w:proofErr w:type="spellEnd"/>
            <w:r>
              <w:rPr>
                <w:rFonts w:ascii="Times New Roman" w:eastAsia="Times New Roman" w:hAnsi="Times New Roman" w:cs="Times New Roman"/>
                <w:color w:val="333333"/>
                <w:sz w:val="24"/>
                <w:szCs w:val="24"/>
              </w:rPr>
              <w:t xml:space="preserve"> que las promuevan</w:t>
            </w:r>
            <w:r w:rsidR="001D5DF5">
              <w:rPr>
                <w:rFonts w:ascii="Times New Roman" w:eastAsia="Times New Roman" w:hAnsi="Times New Roman" w:cs="Times New Roman"/>
                <w:color w:val="333333"/>
                <w:sz w:val="24"/>
                <w:szCs w:val="24"/>
              </w:rPr>
              <w:t>?</w:t>
            </w:r>
            <w:r>
              <w:rPr>
                <w:rFonts w:ascii="Times New Roman" w:eastAsia="Times New Roman" w:hAnsi="Times New Roman" w:cs="Times New Roman"/>
                <w:color w:val="333333"/>
                <w:sz w:val="24"/>
                <w:szCs w:val="24"/>
              </w:rPr>
              <w:t>.</w:t>
            </w:r>
          </w:p>
        </w:tc>
      </w:tr>
    </w:tbl>
    <w:p w:rsidR="0091007F" w:rsidRDefault="0091007F">
      <w:pPr>
        <w:spacing w:after="0" w:line="240" w:lineRule="auto"/>
        <w:rPr>
          <w:rFonts w:ascii="Times New Roman" w:eastAsia="Times New Roman" w:hAnsi="Times New Roman" w:cs="Times New Roman"/>
          <w:sz w:val="24"/>
          <w:szCs w:val="24"/>
        </w:rPr>
      </w:pPr>
    </w:p>
    <w:tbl>
      <w:tblPr>
        <w:tblStyle w:val="a4"/>
        <w:tblW w:w="14983" w:type="dxa"/>
        <w:tblInd w:w="0" w:type="dxa"/>
        <w:tblLayout w:type="fixed"/>
        <w:tblLook w:val="0400" w:firstRow="0" w:lastRow="0" w:firstColumn="0" w:lastColumn="0" w:noHBand="0" w:noVBand="1"/>
      </w:tblPr>
      <w:tblGrid>
        <w:gridCol w:w="14983"/>
      </w:tblGrid>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Justificación</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tcPr>
          <w:p w:rsidR="0091007F" w:rsidRDefault="00EE65C3">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derecho a la verdad se consolida como fundamental para la dignificación de las víctimas del conflicto armado, pero también a nivel colectivo porque sólo así es posible que </w:t>
            </w:r>
            <w:proofErr w:type="gramStart"/>
            <w:r>
              <w:rPr>
                <w:rFonts w:ascii="Times New Roman" w:eastAsia="Times New Roman" w:hAnsi="Times New Roman" w:cs="Times New Roman"/>
                <w:color w:val="000000"/>
                <w:sz w:val="24"/>
                <w:szCs w:val="24"/>
              </w:rPr>
              <w:t>Colombia  construya</w:t>
            </w:r>
            <w:proofErr w:type="gramEnd"/>
            <w:r>
              <w:rPr>
                <w:rFonts w:ascii="Times New Roman" w:eastAsia="Times New Roman" w:hAnsi="Times New Roman" w:cs="Times New Roman"/>
                <w:color w:val="000000"/>
                <w:sz w:val="24"/>
                <w:szCs w:val="24"/>
              </w:rPr>
              <w:t xml:space="preserve"> su memoria histórica con miras al empoderamiento del diálogo, de la reconciliación nacional y la búsqueda de la paz.  Mediante la verdad y la reconstrucción de la memoria será posible la adquisición de la justicia, la reparación y la no repetición.</w:t>
            </w:r>
          </w:p>
          <w:p w:rsidR="0091007F" w:rsidRDefault="00EE65C3">
            <w:pPr>
              <w:spacing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Pero dicha verdad no se construye exclusivamente desde la figura judicial. Es necesario incluir los mecanismos extrajudiciales soportados además en el </w:t>
            </w:r>
            <w:proofErr w:type="gramStart"/>
            <w:r>
              <w:rPr>
                <w:rFonts w:ascii="Times New Roman" w:eastAsia="Times New Roman" w:hAnsi="Times New Roman" w:cs="Times New Roman"/>
                <w:sz w:val="24"/>
                <w:szCs w:val="24"/>
              </w:rPr>
              <w:t>relato  y</w:t>
            </w:r>
            <w:proofErr w:type="gramEnd"/>
            <w:r>
              <w:rPr>
                <w:rFonts w:ascii="Times New Roman" w:eastAsia="Times New Roman" w:hAnsi="Times New Roman" w:cs="Times New Roman"/>
                <w:sz w:val="24"/>
                <w:szCs w:val="24"/>
              </w:rPr>
              <w:t xml:space="preserve"> la reconstrucción de la memoria. Es entonces fundamental empoderar </w:t>
            </w:r>
            <w:proofErr w:type="gramStart"/>
            <w:r>
              <w:rPr>
                <w:rFonts w:ascii="Times New Roman" w:eastAsia="Times New Roman" w:hAnsi="Times New Roman" w:cs="Times New Roman"/>
                <w:sz w:val="24"/>
                <w:szCs w:val="24"/>
              </w:rPr>
              <w:t>a  las</w:t>
            </w:r>
            <w:proofErr w:type="gramEnd"/>
            <w:r>
              <w:rPr>
                <w:rFonts w:ascii="Times New Roman" w:eastAsia="Times New Roman" w:hAnsi="Times New Roman" w:cs="Times New Roman"/>
                <w:sz w:val="24"/>
                <w:szCs w:val="24"/>
              </w:rPr>
              <w:t xml:space="preserve"> comunidades y nuevas generaciones para que su búsqueda se corresponda al accionar cotidiano,  y su exigencia una constante.  Es así que la construcción conjunta de estrategias pedagógicas para su reconocimiento se constituye como una necesidad imperante en la construcción de país en marcos del pos acuerdo.</w:t>
            </w:r>
          </w:p>
          <w:p w:rsidR="0091007F" w:rsidRDefault="00EE65C3">
            <w:pPr>
              <w:spacing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Este </w:t>
            </w:r>
            <w:proofErr w:type="gramStart"/>
            <w:r>
              <w:rPr>
                <w:rFonts w:ascii="Times New Roman" w:eastAsia="Times New Roman" w:hAnsi="Times New Roman" w:cs="Times New Roman"/>
                <w:sz w:val="24"/>
                <w:szCs w:val="24"/>
              </w:rPr>
              <w:t>proyecto  busca</w:t>
            </w:r>
            <w:proofErr w:type="gramEnd"/>
            <w:r>
              <w:rPr>
                <w:rFonts w:ascii="Times New Roman" w:eastAsia="Times New Roman" w:hAnsi="Times New Roman" w:cs="Times New Roman"/>
                <w:sz w:val="24"/>
                <w:szCs w:val="24"/>
              </w:rPr>
              <w:t xml:space="preserve"> la identificación y análisis de las experiencias de paz y reconciliación exitosas en escuelas y colegios de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w:t>
            </w:r>
            <w:r w:rsidR="001D5DF5">
              <w:rPr>
                <w:rFonts w:ascii="Times New Roman" w:eastAsia="Times New Roman" w:hAnsi="Times New Roman" w:cs="Times New Roman"/>
                <w:sz w:val="24"/>
                <w:szCs w:val="24"/>
              </w:rPr>
              <w:t xml:space="preserve">y </w:t>
            </w:r>
            <w:bookmarkStart w:id="1" w:name="_GoBack"/>
            <w:bookmarkEnd w:id="1"/>
            <w:r>
              <w:rPr>
                <w:rFonts w:ascii="Times New Roman" w:eastAsia="Times New Roman" w:hAnsi="Times New Roman" w:cs="Times New Roman"/>
                <w:sz w:val="24"/>
                <w:szCs w:val="24"/>
              </w:rPr>
              <w:t>del Catatumbo, para a través del análisis de las mismas, lograr establecer  estrategias pedagógicas aplicables en las cátedras de la paz,   a partir de lo experiencial, los relatos y la praxis cotidiana, para el reconocimiento de   la verdad y la memoria como ámbitos primordiales para la construcción de paz y la búsqueda de la reconciliación.</w:t>
            </w:r>
          </w:p>
          <w:p w:rsidR="0091007F" w:rsidRDefault="00EE65C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Cabe decir que los espacios comunitarios elegidos han sido receptores en sí mismos de los estragos del conflicto armado y por lo tanto están ávidos de construir propuestas conjuntamente con los investigadores, para que su posterior implementación sirva, no sólo para el mejoramiento de sus propias condiciones   y fortalecimiento de sus agendas interculturales de paz y búsqueda de dignificación, sino como modelo aplicable a instituciones </w:t>
            </w:r>
            <w:proofErr w:type="gramStart"/>
            <w:r>
              <w:rPr>
                <w:rFonts w:ascii="Times New Roman" w:eastAsia="Times New Roman" w:hAnsi="Times New Roman" w:cs="Times New Roman"/>
                <w:sz w:val="24"/>
                <w:szCs w:val="24"/>
              </w:rPr>
              <w:t>educativas  en</w:t>
            </w:r>
            <w:proofErr w:type="gramEnd"/>
            <w:r>
              <w:rPr>
                <w:rFonts w:ascii="Times New Roman" w:eastAsia="Times New Roman" w:hAnsi="Times New Roman" w:cs="Times New Roman"/>
                <w:sz w:val="24"/>
                <w:szCs w:val="24"/>
              </w:rPr>
              <w:t xml:space="preserve"> condiciones similares. Fueron elegidos con la intencionalidad de observar la diferencia de los relatos y apropiación de la verdad y la memoria en un contexto urbano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y uno de región (Catatumbo).</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Dichas comunidades, corresponden a los colegios Luis Carlos Galán  y Dios es Amor de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comuna 4 en articulación con el programa “Escuelas Protectoras” y  desde la región en las escuelas locales del Catatumbo, a través del CISCA,  la Comisión de la Verdad del Norte de Santander y con la organización Minga como aliado estratégico.</w:t>
            </w:r>
          </w:p>
        </w:tc>
      </w:tr>
    </w:tbl>
    <w:p w:rsidR="0091007F" w:rsidRDefault="0091007F">
      <w:pPr>
        <w:spacing w:after="0" w:line="240" w:lineRule="auto"/>
        <w:rPr>
          <w:rFonts w:ascii="Times New Roman" w:eastAsia="Times New Roman" w:hAnsi="Times New Roman" w:cs="Times New Roman"/>
          <w:sz w:val="24"/>
          <w:szCs w:val="24"/>
        </w:rPr>
      </w:pPr>
    </w:p>
    <w:tbl>
      <w:tblPr>
        <w:tblStyle w:val="a5"/>
        <w:tblW w:w="14983" w:type="dxa"/>
        <w:tblInd w:w="0" w:type="dxa"/>
        <w:tblLayout w:type="fixed"/>
        <w:tblLook w:val="0400" w:firstRow="0" w:lastRow="0" w:firstColumn="0" w:lastColumn="0" w:noHBand="0" w:noVBand="1"/>
      </w:tblPr>
      <w:tblGrid>
        <w:gridCol w:w="14983"/>
      </w:tblGrid>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Objetivo general</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Analizar los quehaceres de recuperación de la verdad y reconstrucción de la memoria en escuelas y colegios del </w:t>
            </w:r>
            <w:proofErr w:type="gramStart"/>
            <w:r>
              <w:rPr>
                <w:rFonts w:ascii="Times New Roman" w:eastAsia="Times New Roman" w:hAnsi="Times New Roman" w:cs="Times New Roman"/>
                <w:sz w:val="24"/>
                <w:szCs w:val="24"/>
              </w:rPr>
              <w:t>Catatumbo  (</w:t>
            </w:r>
            <w:proofErr w:type="gramEnd"/>
            <w:r>
              <w:rPr>
                <w:rFonts w:ascii="Times New Roman" w:eastAsia="Times New Roman" w:hAnsi="Times New Roman" w:cs="Times New Roman"/>
                <w:sz w:val="24"/>
                <w:szCs w:val="24"/>
              </w:rPr>
              <w:t xml:space="preserve">Norte de Santander) y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(Soacha- Cundinamarca) como estrategia para la consolidación de procesos de reconciliación y búsqueda de paz en los marcos del pos acuerdo. </w:t>
            </w:r>
          </w:p>
        </w:tc>
      </w:tr>
    </w:tbl>
    <w:p w:rsidR="0091007F" w:rsidRDefault="0091007F">
      <w:pPr>
        <w:spacing w:after="0" w:line="240" w:lineRule="auto"/>
        <w:rPr>
          <w:rFonts w:ascii="Times New Roman" w:eastAsia="Times New Roman" w:hAnsi="Times New Roman" w:cs="Times New Roman"/>
          <w:sz w:val="24"/>
          <w:szCs w:val="24"/>
        </w:rPr>
      </w:pPr>
    </w:p>
    <w:tbl>
      <w:tblPr>
        <w:tblStyle w:val="a6"/>
        <w:tblW w:w="14983" w:type="dxa"/>
        <w:tblInd w:w="0" w:type="dxa"/>
        <w:tblLayout w:type="fixed"/>
        <w:tblLook w:val="0400" w:firstRow="0" w:lastRow="0" w:firstColumn="0" w:lastColumn="0" w:noHBand="0" w:noVBand="1"/>
      </w:tblPr>
      <w:tblGrid>
        <w:gridCol w:w="14983"/>
      </w:tblGrid>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Objetivos específicos</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Identificar las experiencias de reconciliación y </w:t>
            </w:r>
            <w:proofErr w:type="gramStart"/>
            <w:r>
              <w:rPr>
                <w:rFonts w:ascii="Times New Roman" w:eastAsia="Times New Roman" w:hAnsi="Times New Roman" w:cs="Times New Roman"/>
                <w:color w:val="000000"/>
                <w:sz w:val="24"/>
                <w:szCs w:val="24"/>
              </w:rPr>
              <w:t>paz  en</w:t>
            </w:r>
            <w:proofErr w:type="gramEnd"/>
            <w:r>
              <w:rPr>
                <w:rFonts w:ascii="Times New Roman" w:eastAsia="Times New Roman" w:hAnsi="Times New Roman" w:cs="Times New Roman"/>
                <w:color w:val="000000"/>
                <w:sz w:val="24"/>
                <w:szCs w:val="24"/>
              </w:rPr>
              <w:t xml:space="preserve"> colegios y escuelas  de la comuna 4 de Altos de </w:t>
            </w:r>
            <w:proofErr w:type="spellStart"/>
            <w:r>
              <w:rPr>
                <w:rFonts w:ascii="Times New Roman" w:eastAsia="Times New Roman" w:hAnsi="Times New Roman" w:cs="Times New Roman"/>
                <w:color w:val="000000"/>
                <w:sz w:val="24"/>
                <w:szCs w:val="24"/>
              </w:rPr>
              <w:t>Cazucá</w:t>
            </w:r>
            <w:proofErr w:type="spellEnd"/>
            <w:r>
              <w:rPr>
                <w:rFonts w:ascii="Times New Roman" w:eastAsia="Times New Roman" w:hAnsi="Times New Roman" w:cs="Times New Roman"/>
                <w:color w:val="000000"/>
                <w:sz w:val="24"/>
                <w:szCs w:val="24"/>
              </w:rPr>
              <w:t xml:space="preserve">  y el Catatumbo a través del CISCA (Comité de Integración Social del Catatumbo), que constituyen la verdad  como un bien  colectivo inalienable.</w:t>
            </w:r>
          </w:p>
          <w:p w:rsidR="0091007F" w:rsidRDefault="00EE65C3">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Diseñar estrategias pedagógicas que promuevan el reconocimiento de la verdad y la memoria, como ejes fundamentales en el afianzamiento de procesos de reconciliación y paz </w:t>
            </w:r>
            <w:proofErr w:type="gramStart"/>
            <w:r>
              <w:rPr>
                <w:rFonts w:ascii="Times New Roman" w:eastAsia="Times New Roman" w:hAnsi="Times New Roman" w:cs="Times New Roman"/>
                <w:color w:val="000000"/>
                <w:sz w:val="24"/>
                <w:szCs w:val="24"/>
              </w:rPr>
              <w:t>dentro  de</w:t>
            </w:r>
            <w:proofErr w:type="gramEnd"/>
            <w:r>
              <w:rPr>
                <w:rFonts w:ascii="Times New Roman" w:eastAsia="Times New Roman" w:hAnsi="Times New Roman" w:cs="Times New Roman"/>
                <w:color w:val="000000"/>
                <w:sz w:val="24"/>
                <w:szCs w:val="24"/>
              </w:rPr>
              <w:t xml:space="preserve"> comunidades vulneradas por el conflicto armado, analizando las diferencias de los relatos y testimonios  en un contexto suburbano (Altos de </w:t>
            </w:r>
            <w:proofErr w:type="spellStart"/>
            <w:r>
              <w:rPr>
                <w:rFonts w:ascii="Times New Roman" w:eastAsia="Times New Roman" w:hAnsi="Times New Roman" w:cs="Times New Roman"/>
                <w:color w:val="000000"/>
                <w:sz w:val="24"/>
                <w:szCs w:val="24"/>
              </w:rPr>
              <w:t>Cazucá</w:t>
            </w:r>
            <w:proofErr w:type="spellEnd"/>
            <w:r>
              <w:rPr>
                <w:rFonts w:ascii="Times New Roman" w:eastAsia="Times New Roman" w:hAnsi="Times New Roman" w:cs="Times New Roman"/>
                <w:color w:val="000000"/>
                <w:sz w:val="24"/>
                <w:szCs w:val="24"/>
              </w:rPr>
              <w:t>) y de región (Catatumbo).</w:t>
            </w:r>
          </w:p>
          <w:p w:rsidR="0091007F" w:rsidRDefault="00EE65C3">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Establecer estrategias </w:t>
            </w:r>
            <w:proofErr w:type="spellStart"/>
            <w:r>
              <w:rPr>
                <w:rFonts w:ascii="Times New Roman" w:eastAsia="Times New Roman" w:hAnsi="Times New Roman" w:cs="Times New Roman"/>
                <w:sz w:val="24"/>
                <w:szCs w:val="24"/>
              </w:rPr>
              <w:t>educomunicativas</w:t>
            </w:r>
            <w:proofErr w:type="spellEnd"/>
            <w:r>
              <w:rPr>
                <w:rFonts w:ascii="Times New Roman" w:eastAsia="Times New Roman" w:hAnsi="Times New Roman" w:cs="Times New Roman"/>
                <w:color w:val="000000"/>
                <w:sz w:val="24"/>
                <w:szCs w:val="24"/>
              </w:rPr>
              <w:t xml:space="preserve"> y metodológicas para el fortalecimiento de las agendas interculturales de </w:t>
            </w:r>
            <w:proofErr w:type="gramStart"/>
            <w:r>
              <w:rPr>
                <w:rFonts w:ascii="Times New Roman" w:eastAsia="Times New Roman" w:hAnsi="Times New Roman" w:cs="Times New Roman"/>
                <w:color w:val="000000"/>
                <w:sz w:val="24"/>
                <w:szCs w:val="24"/>
              </w:rPr>
              <w:t>paz  de</w:t>
            </w:r>
            <w:proofErr w:type="gramEnd"/>
            <w:r>
              <w:rPr>
                <w:rFonts w:ascii="Times New Roman" w:eastAsia="Times New Roman" w:hAnsi="Times New Roman" w:cs="Times New Roman"/>
                <w:color w:val="000000"/>
                <w:sz w:val="24"/>
                <w:szCs w:val="24"/>
              </w:rPr>
              <w:t xml:space="preserve"> los territorios en mención.</w:t>
            </w:r>
          </w:p>
          <w:p w:rsidR="0091007F" w:rsidRDefault="00EE65C3">
            <w:pPr>
              <w:numPr>
                <w:ilvl w:val="0"/>
                <w:numId w:val="4"/>
              </w:numPr>
              <w:pBdr>
                <w:top w:val="nil"/>
                <w:left w:val="nil"/>
                <w:bottom w:val="nil"/>
                <w:right w:val="nil"/>
                <w:between w:val="nil"/>
              </w:pBd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000000"/>
                <w:sz w:val="24"/>
                <w:szCs w:val="24"/>
              </w:rPr>
              <w:t xml:space="preserve">Comunicar, a través de la narrativa </w:t>
            </w:r>
            <w:proofErr w:type="spellStart"/>
            <w:r>
              <w:rPr>
                <w:rFonts w:ascii="Times New Roman" w:eastAsia="Times New Roman" w:hAnsi="Times New Roman" w:cs="Times New Roman"/>
                <w:color w:val="000000"/>
                <w:sz w:val="24"/>
                <w:szCs w:val="24"/>
              </w:rPr>
              <w:t>transmedia</w:t>
            </w:r>
            <w:proofErr w:type="spellEnd"/>
            <w:r>
              <w:rPr>
                <w:rFonts w:ascii="Times New Roman" w:eastAsia="Times New Roman" w:hAnsi="Times New Roman" w:cs="Times New Roman"/>
                <w:color w:val="000000"/>
                <w:sz w:val="24"/>
                <w:szCs w:val="24"/>
              </w:rPr>
              <w:t xml:space="preserve">, las experiencias de consolidación de la verdad, memoria y paz de las comunidades en mención, como herramienta pedagógica modelo. </w:t>
            </w:r>
          </w:p>
        </w:tc>
      </w:tr>
    </w:tbl>
    <w:p w:rsidR="0091007F" w:rsidRDefault="0091007F">
      <w:pPr>
        <w:spacing w:after="0" w:line="240" w:lineRule="auto"/>
        <w:rPr>
          <w:rFonts w:ascii="Times New Roman" w:eastAsia="Times New Roman" w:hAnsi="Times New Roman" w:cs="Times New Roman"/>
          <w:sz w:val="24"/>
          <w:szCs w:val="24"/>
        </w:rPr>
      </w:pPr>
    </w:p>
    <w:tbl>
      <w:tblPr>
        <w:tblStyle w:val="a7"/>
        <w:tblW w:w="14983" w:type="dxa"/>
        <w:tblInd w:w="0" w:type="dxa"/>
        <w:tblLayout w:type="fixed"/>
        <w:tblLook w:val="0400" w:firstRow="0" w:lastRow="0" w:firstColumn="0" w:lastColumn="0" w:noHBand="0" w:noVBand="1"/>
      </w:tblPr>
      <w:tblGrid>
        <w:gridCol w:w="14983"/>
      </w:tblGrid>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Estado del arte y marco conceptual</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La </w:t>
            </w:r>
            <w:proofErr w:type="gramStart"/>
            <w:r>
              <w:rPr>
                <w:rFonts w:ascii="Times New Roman" w:eastAsia="Times New Roman" w:hAnsi="Times New Roman" w:cs="Times New Roman"/>
                <w:b/>
                <w:sz w:val="24"/>
                <w:szCs w:val="24"/>
              </w:rPr>
              <w:t>Importancia  de</w:t>
            </w:r>
            <w:proofErr w:type="gramEnd"/>
            <w:r>
              <w:rPr>
                <w:rFonts w:ascii="Times New Roman" w:eastAsia="Times New Roman" w:hAnsi="Times New Roman" w:cs="Times New Roman"/>
                <w:b/>
                <w:sz w:val="24"/>
                <w:szCs w:val="24"/>
              </w:rPr>
              <w:t xml:space="preserve"> la verdad</w:t>
            </w:r>
          </w:p>
          <w:p w:rsidR="0091007F" w:rsidRDefault="00EE65C3">
            <w:pPr>
              <w:spacing w:after="1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verdad es entendida como el derecho de las víctimas de carácter individual, a conocer todas aquellas circunstancias relacionadas con lugar o modo (forma) en medio de las cuales se dieron los crímenes atroces, así como derecho de la sociedad de carácter colectivo para lograr construir narraciones históricas de dichos hechos vulneradores. </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primeras intenciones de percepción sobre el tema se refirieron a las atrocidades cometidas durante la Primera Guerra </w:t>
            </w:r>
            <w:proofErr w:type="gramStart"/>
            <w:r>
              <w:rPr>
                <w:rFonts w:ascii="Times New Roman" w:eastAsia="Times New Roman" w:hAnsi="Times New Roman" w:cs="Times New Roman"/>
                <w:sz w:val="24"/>
                <w:szCs w:val="24"/>
              </w:rPr>
              <w:t>Mundial</w:t>
            </w:r>
            <w:proofErr w:type="gramEnd"/>
            <w:r>
              <w:rPr>
                <w:rFonts w:ascii="Times New Roman" w:eastAsia="Times New Roman" w:hAnsi="Times New Roman" w:cs="Times New Roman"/>
                <w:sz w:val="24"/>
                <w:szCs w:val="24"/>
              </w:rPr>
              <w:t xml:space="preserve"> pero éstas fueron parcialmente identificadas y se limitó a juzgar a los criminales de guerra; dicha penalización fue impuesta por los Aliados en su figura de vencedores pero quedó reducida al castigo de pocos con penas insuficientes.</w:t>
            </w:r>
          </w:p>
          <w:p w:rsidR="0091007F" w:rsidRDefault="00EE65C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 segundo momento corresponde a los juicios de </w:t>
            </w:r>
            <w:proofErr w:type="spellStart"/>
            <w:r>
              <w:rPr>
                <w:rFonts w:ascii="Times New Roman" w:eastAsia="Times New Roman" w:hAnsi="Times New Roman" w:cs="Times New Roman"/>
                <w:sz w:val="24"/>
                <w:szCs w:val="24"/>
              </w:rPr>
              <w:t>Nuremberg</w:t>
            </w:r>
            <w:proofErr w:type="spellEnd"/>
            <w:r>
              <w:rPr>
                <w:rFonts w:ascii="Times New Roman" w:eastAsia="Times New Roman" w:hAnsi="Times New Roman" w:cs="Times New Roman"/>
                <w:sz w:val="24"/>
                <w:szCs w:val="24"/>
              </w:rPr>
              <w:t xml:space="preserve"> y Tokio, consiguientes a la finalización de la Segunda Guerra Mundial. Allí la verdad fue una tarea destinada exclusivamente a los tribunales, pero se alimentaron de las primeras iniciativas de reconstrucción de la memoria colectiva.  A partir de allí, la realidad global cambió.  Se empiezan a dar manifestaciones de repudio ante los crímenes en un marco de justicia puramente punitiva y comienza la </w:t>
            </w:r>
            <w:r>
              <w:rPr>
                <w:rFonts w:ascii="Times New Roman" w:eastAsia="Times New Roman" w:hAnsi="Times New Roman" w:cs="Times New Roman"/>
                <w:sz w:val="24"/>
                <w:szCs w:val="24"/>
              </w:rPr>
              <w:lastRenderedPageBreak/>
              <w:t xml:space="preserve">necesidad de exigencia permanente de los derechos humanos.  En este marco de la posguerra, la verdad se convierte </w:t>
            </w:r>
            <w:proofErr w:type="gramStart"/>
            <w:r>
              <w:rPr>
                <w:rFonts w:ascii="Times New Roman" w:eastAsia="Times New Roman" w:hAnsi="Times New Roman" w:cs="Times New Roman"/>
                <w:sz w:val="24"/>
                <w:szCs w:val="24"/>
              </w:rPr>
              <w:t>en  una</w:t>
            </w:r>
            <w:proofErr w:type="gramEnd"/>
            <w:r>
              <w:rPr>
                <w:rFonts w:ascii="Times New Roman" w:eastAsia="Times New Roman" w:hAnsi="Times New Roman" w:cs="Times New Roman"/>
                <w:sz w:val="24"/>
                <w:szCs w:val="24"/>
              </w:rPr>
              <w:t xml:space="preserve"> necesidad imperante para la evitar la repetición de tan atroces delitos. </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finalizar las dictaduras del Cono Sur, donde el ámbito de justicia estuvo permeado por marcos de amnistía a los ex dictadores, la verdad estuvo en manos de espacios planeados y ejecutados exclusivamente para su búsqueda, vislumbrados como Comisiones de la Verdad, las cuales podían desarrollar actividades de investigación, mas no de judicialización, lo que las constituyó como entes débiles.</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Fue a partir de los años noventa que se fortalecen los tribunales especiales ad hoc para Ruanda y la ex Yugoslavia, donde la verdad se busca en los estrados judiciales, pero también en marcos no institucionalizados, y el relato y la memoria colectiva cobran vida.</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Comienza a tener fuerza la figura de las Comisiones de la Verdad a partir del ejercicio desarrollado en Sudáfrica, donde la intencionalidad de promover la reconciliación nacional evidenciaba las deficiencias de la jurisprudencia y los marcos punitivos que lo único que exaltaban era el rencor y la ausencia de perdón entre víctimas y victimarios.</w:t>
            </w:r>
          </w:p>
          <w:p w:rsidR="0091007F" w:rsidRDefault="00EE65C3">
            <w:pPr>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Enfoque punitivo propio de los procesos judiciales podía resultar contrario a los fines de reconciliación nacional, en la medida en que, en lugar de facilitar el perdón entre víctimas y victimarios, podían aumentar los sentimientos de rencor, indignación, venganza, etc., que estos demostraban. A partir de esta crítica, se </w:t>
            </w:r>
            <w:proofErr w:type="gramStart"/>
            <w:r>
              <w:rPr>
                <w:rFonts w:ascii="Times New Roman" w:eastAsia="Times New Roman" w:hAnsi="Times New Roman" w:cs="Times New Roman"/>
                <w:sz w:val="24"/>
                <w:szCs w:val="24"/>
              </w:rPr>
              <w:t>propugnó  porque</w:t>
            </w:r>
            <w:proofErr w:type="gramEnd"/>
            <w:r>
              <w:rPr>
                <w:rFonts w:ascii="Times New Roman" w:eastAsia="Times New Roman" w:hAnsi="Times New Roman" w:cs="Times New Roman"/>
                <w:sz w:val="24"/>
                <w:szCs w:val="24"/>
              </w:rPr>
              <w:t xml:space="preserve"> las transiciones tuvieran un enfoque de justicia restaurativa, que reemplazará el enfoque punitivo propio de los procesos judiciales” (</w:t>
            </w:r>
            <w:proofErr w:type="spellStart"/>
            <w:r>
              <w:rPr>
                <w:rFonts w:ascii="Times New Roman" w:eastAsia="Times New Roman" w:hAnsi="Times New Roman" w:cs="Times New Roman"/>
                <w:sz w:val="24"/>
                <w:szCs w:val="24"/>
              </w:rPr>
              <w:t>Uprimny</w:t>
            </w:r>
            <w:proofErr w:type="spellEnd"/>
            <w:r>
              <w:rPr>
                <w:rFonts w:ascii="Times New Roman" w:eastAsia="Times New Roman" w:hAnsi="Times New Roman" w:cs="Times New Roman"/>
                <w:sz w:val="24"/>
                <w:szCs w:val="24"/>
              </w:rPr>
              <w:t>, 2007, pág. 160).</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de allí se comienza a contemplar la opción de la complementariedad de las diferentes formas de búsqueda de verdad.</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Surge a partir de artículo 32 del Protocolo I de 1977 adicional de los Convenios de Ginebra de 1949, con la intencionalidad de ubicar a los combatientes y víctimas de desaparición forzada. En este momento, no sólo se contempla la dimensión individual sino reconoce el ámbito y la necesidad de búsqueda de causas de la violencia en </w:t>
            </w:r>
            <w:proofErr w:type="gramStart"/>
            <w:r>
              <w:rPr>
                <w:rFonts w:ascii="Times New Roman" w:eastAsia="Times New Roman" w:hAnsi="Times New Roman" w:cs="Times New Roman"/>
                <w:sz w:val="24"/>
                <w:szCs w:val="24"/>
              </w:rPr>
              <w:t>marcos  sociales</w:t>
            </w:r>
            <w:proofErr w:type="gramEnd"/>
            <w:r>
              <w:rPr>
                <w:rFonts w:ascii="Times New Roman" w:eastAsia="Times New Roman" w:hAnsi="Times New Roman" w:cs="Times New Roman"/>
                <w:sz w:val="24"/>
                <w:szCs w:val="24"/>
              </w:rPr>
              <w:t xml:space="preserve"> y grupales.  Establece así mismo, una inferencia ineludible para poder afiliar todas las formas que </w:t>
            </w:r>
            <w:proofErr w:type="gramStart"/>
            <w:r>
              <w:rPr>
                <w:rFonts w:ascii="Times New Roman" w:eastAsia="Times New Roman" w:hAnsi="Times New Roman" w:cs="Times New Roman"/>
                <w:sz w:val="24"/>
                <w:szCs w:val="24"/>
              </w:rPr>
              <w:t>llevan  a</w:t>
            </w:r>
            <w:proofErr w:type="gramEnd"/>
            <w:r>
              <w:rPr>
                <w:rFonts w:ascii="Times New Roman" w:eastAsia="Times New Roman" w:hAnsi="Times New Roman" w:cs="Times New Roman"/>
                <w:sz w:val="24"/>
                <w:szCs w:val="24"/>
              </w:rPr>
              <w:t xml:space="preserve"> evitar la reproducción de las graves vulneraciones ocurridas.</w:t>
            </w:r>
          </w:p>
          <w:p w:rsidR="0091007F" w:rsidRDefault="00EE65C3">
            <w:pPr>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derecho a la verdad ha surgido como respuesta frente a la falta de esclarecimiento, investigación, juzgamiento y sanción de los casos de graves violaciones de derechos humanos e infracciones al DIH por parte de los Estados. Es a través de los esfuerzos para combatir la impunidad que los órganos del sistema han desarrollado estándares regionales que dan contenido al derecho a la verdad, y los Estados y la sociedad civil han desarrollado enfoques e iniciativas para implementarlos en una amplia gama de conceptos. Asimismo, el derecho a la verdad constituye uno de los pilares de los mecanismos de justicia transicional.” (CIDH, 2014)</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constituye entonces como un ejercicio obligatorio dentro de procesos transicionales o de pos acuerdo como es el caso colombiano, donde el </w:t>
            </w:r>
            <w:proofErr w:type="gramStart"/>
            <w:r>
              <w:rPr>
                <w:rFonts w:ascii="Times New Roman" w:eastAsia="Times New Roman" w:hAnsi="Times New Roman" w:cs="Times New Roman"/>
                <w:sz w:val="24"/>
                <w:szCs w:val="24"/>
              </w:rPr>
              <w:t>negligencia  ha</w:t>
            </w:r>
            <w:proofErr w:type="gramEnd"/>
            <w:r>
              <w:rPr>
                <w:rFonts w:ascii="Times New Roman" w:eastAsia="Times New Roman" w:hAnsi="Times New Roman" w:cs="Times New Roman"/>
                <w:sz w:val="24"/>
                <w:szCs w:val="24"/>
              </w:rPr>
              <w:t xml:space="preserve"> sido una constante dentro del accionar estatal. Las víctimas relacionan su necesidad a la verdad como un derecho a la dignificación y ente fundamental para la adquisición de los otros derechos. </w:t>
            </w:r>
          </w:p>
          <w:p w:rsidR="0091007F" w:rsidRDefault="00EE65C3">
            <w:pPr>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el derecho a la verdad tiene que ver con el derecho a saber, que tienen las sociedades, y el correlativo deber de recordar, que tienen los estados, con referencia a ciertas circunstancias históricas, sociales, políticas, militares o de otro orden, que hicieron posible la ocurrencia de tales niveles de violencia.” (Verdad., 2014, pág. 43)</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Como se explicaba anteriormente, se constituye en el pilar para el cumplimiento la justicia, la reparación y la no </w:t>
            </w:r>
            <w:proofErr w:type="gramStart"/>
            <w:r>
              <w:rPr>
                <w:rFonts w:ascii="Times New Roman" w:eastAsia="Times New Roman" w:hAnsi="Times New Roman" w:cs="Times New Roman"/>
                <w:sz w:val="24"/>
                <w:szCs w:val="24"/>
              </w:rPr>
              <w:t>repetición  al</w:t>
            </w:r>
            <w:proofErr w:type="gramEnd"/>
            <w:r>
              <w:rPr>
                <w:rFonts w:ascii="Times New Roman" w:eastAsia="Times New Roman" w:hAnsi="Times New Roman" w:cs="Times New Roman"/>
                <w:sz w:val="24"/>
                <w:szCs w:val="24"/>
              </w:rPr>
              <w:t xml:space="preserve"> saberse las condiciones y los victimarios, se logrará generar responsabilidad penal y exigencia de reparación. Así mismo, es la herramienta básica para evitar el olvido, la impunidad y lograr el aseguramiento de la no repetición, pues la memoria que emerge de la verdad previene la nueva comisión del delito y se constituye en protagonista de sanción social en contra de posibles futuras atrocidades. La verdad se constituye en elemento fundamental para sociedades que se han visto abocadas a constantes violaciones de derechos humanos y del derecho internacional humanitario.</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marcos transicionales se articula directamente con la reconstrucción de la memoria histórica, donde ésta aboca a que las sociedades enfrenten todas aquellos marcos </w:t>
            </w:r>
            <w:proofErr w:type="spellStart"/>
            <w:r>
              <w:rPr>
                <w:rFonts w:ascii="Times New Roman" w:eastAsia="Times New Roman" w:hAnsi="Times New Roman" w:cs="Times New Roman"/>
                <w:sz w:val="24"/>
                <w:szCs w:val="24"/>
              </w:rPr>
              <w:t>vulneratorios</w:t>
            </w:r>
            <w:proofErr w:type="spellEnd"/>
            <w:r>
              <w:rPr>
                <w:rFonts w:ascii="Times New Roman" w:eastAsia="Times New Roman" w:hAnsi="Times New Roman" w:cs="Times New Roman"/>
                <w:sz w:val="24"/>
                <w:szCs w:val="24"/>
              </w:rPr>
              <w:t xml:space="preserve">, especialmente los relacionados </w:t>
            </w:r>
            <w:proofErr w:type="gramStart"/>
            <w:r>
              <w:rPr>
                <w:rFonts w:ascii="Times New Roman" w:eastAsia="Times New Roman" w:hAnsi="Times New Roman" w:cs="Times New Roman"/>
                <w:sz w:val="24"/>
                <w:szCs w:val="24"/>
              </w:rPr>
              <w:t>con  crímenes</w:t>
            </w:r>
            <w:proofErr w:type="gramEnd"/>
            <w:r>
              <w:rPr>
                <w:rFonts w:ascii="Times New Roman" w:eastAsia="Times New Roman" w:hAnsi="Times New Roman" w:cs="Times New Roman"/>
                <w:sz w:val="24"/>
                <w:szCs w:val="24"/>
              </w:rPr>
              <w:t xml:space="preserve"> de carácter internacional como son el genocidio, los crímenes de lesa humanidad, los crímenes de guerra y el crimen de agresión.  La necesidad de dicha controversia social corresponde a la futura intencionalidad de constitución de paz sostenible y reconciliación.  </w:t>
            </w:r>
          </w:p>
          <w:p w:rsidR="0091007F" w:rsidRDefault="00EE65C3">
            <w:pPr>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“Elaborar la verdad es uno de los caminos para la dignificación de las </w:t>
            </w:r>
            <w:proofErr w:type="gramStart"/>
            <w:r>
              <w:rPr>
                <w:rFonts w:ascii="Times New Roman" w:eastAsia="Times New Roman" w:hAnsi="Times New Roman" w:cs="Times New Roman"/>
                <w:sz w:val="24"/>
                <w:szCs w:val="24"/>
              </w:rPr>
              <w:t>víctimas  y</w:t>
            </w:r>
            <w:proofErr w:type="gramEnd"/>
            <w:r>
              <w:rPr>
                <w:rFonts w:ascii="Times New Roman" w:eastAsia="Times New Roman" w:hAnsi="Times New Roman" w:cs="Times New Roman"/>
                <w:sz w:val="24"/>
                <w:szCs w:val="24"/>
              </w:rPr>
              <w:t xml:space="preserve"> para evitar que los abusos vuelvan a ser cometidos, en la medida en que una sociedad le ponga la cara a las condiciones que hicieron posibles las atrocidades vividas en determinado periodo histórico. Pero esa verdad es apenas uno de los presupuestos de la justicia y, por tanto, de la reparación, y tiene múltiples facetas. […] El derecho a la verdad adquiere una significación potente, por cuanto se trata de enfrentar graves violaciones en las que con frecuencia tuvieron </w:t>
            </w:r>
            <w:proofErr w:type="gramStart"/>
            <w:r>
              <w:rPr>
                <w:rFonts w:ascii="Times New Roman" w:eastAsia="Times New Roman" w:hAnsi="Times New Roman" w:cs="Times New Roman"/>
                <w:sz w:val="24"/>
                <w:szCs w:val="24"/>
              </w:rPr>
              <w:t>participación agentes</w:t>
            </w:r>
            <w:proofErr w:type="gramEnd"/>
            <w:r>
              <w:rPr>
                <w:rFonts w:ascii="Times New Roman" w:eastAsia="Times New Roman" w:hAnsi="Times New Roman" w:cs="Times New Roman"/>
                <w:sz w:val="24"/>
                <w:szCs w:val="24"/>
              </w:rPr>
              <w:t xml:space="preserve"> estatales o en las que los actores armados ilegales actuaron con su complacencia, connivencia o complicidad. Situación </w:t>
            </w:r>
            <w:proofErr w:type="gramStart"/>
            <w:r>
              <w:rPr>
                <w:rFonts w:ascii="Times New Roman" w:eastAsia="Times New Roman" w:hAnsi="Times New Roman" w:cs="Times New Roman"/>
                <w:sz w:val="24"/>
                <w:szCs w:val="24"/>
              </w:rPr>
              <w:t>necesaria  de</w:t>
            </w:r>
            <w:proofErr w:type="gramEnd"/>
            <w:r>
              <w:rPr>
                <w:rFonts w:ascii="Times New Roman" w:eastAsia="Times New Roman" w:hAnsi="Times New Roman" w:cs="Times New Roman"/>
                <w:sz w:val="24"/>
                <w:szCs w:val="24"/>
              </w:rPr>
              <w:t xml:space="preserve"> asumir por el deber de memoria del Estado, lo cual le exige contribuir al esclarecimiento de la verdad de una manera estricta en términos éticos y jurídicos”. (Verdad., 2014, pág. 46)</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necesario el análisis de las formas de reconstruir </w:t>
            </w:r>
            <w:proofErr w:type="gramStart"/>
            <w:r>
              <w:rPr>
                <w:rFonts w:ascii="Times New Roman" w:eastAsia="Times New Roman" w:hAnsi="Times New Roman" w:cs="Times New Roman"/>
                <w:sz w:val="24"/>
                <w:szCs w:val="24"/>
              </w:rPr>
              <w:t>la  verdad</w:t>
            </w:r>
            <w:proofErr w:type="gramEnd"/>
            <w:r>
              <w:rPr>
                <w:rFonts w:ascii="Times New Roman" w:eastAsia="Times New Roman" w:hAnsi="Times New Roman" w:cs="Times New Roman"/>
                <w:sz w:val="24"/>
                <w:szCs w:val="24"/>
              </w:rPr>
              <w:t xml:space="preserve">, entendiendo éstas como verdad judicial, la verdad extrajudicial institucionalizada y las verdades sociales, todas ellas fundamentales en la búsqueda del esclarecimiento de crímenes atroces, la sensibilización sobre los mismos y la apuesta a la no repetición. Sólo su constante articulación permite que entre ellas mismas se solventen las debilidades de cada uno de los mecanismos en mención. La complementariedad conlleva entonces el evitar el apego absoluto y radical a </w:t>
            </w:r>
            <w:proofErr w:type="gramStart"/>
            <w:r>
              <w:rPr>
                <w:rFonts w:ascii="Times New Roman" w:eastAsia="Times New Roman" w:hAnsi="Times New Roman" w:cs="Times New Roman"/>
                <w:sz w:val="24"/>
                <w:szCs w:val="24"/>
              </w:rPr>
              <w:t>uno  de</w:t>
            </w:r>
            <w:proofErr w:type="gramEnd"/>
            <w:r>
              <w:rPr>
                <w:rFonts w:ascii="Times New Roman" w:eastAsia="Times New Roman" w:hAnsi="Times New Roman" w:cs="Times New Roman"/>
                <w:sz w:val="24"/>
                <w:szCs w:val="24"/>
              </w:rPr>
              <w:t xml:space="preserve"> ellos, en menoscabo de los otros.</w:t>
            </w:r>
          </w:p>
          <w:p w:rsidR="0091007F" w:rsidRDefault="00EE65C3">
            <w:pPr>
              <w:ind w:left="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satisfacción del derecho a la verdad dependerá de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frente a cada contexto concreto, se ideen estrategias comprehensivas tendientes a articular adecuadamente los tres mecanismos de obtención de la verdad.” (</w:t>
            </w:r>
            <w:proofErr w:type="spellStart"/>
            <w:r>
              <w:rPr>
                <w:rFonts w:ascii="Times New Roman" w:eastAsia="Times New Roman" w:hAnsi="Times New Roman" w:cs="Times New Roman"/>
                <w:sz w:val="24"/>
                <w:szCs w:val="24"/>
              </w:rPr>
              <w:t>Uprimny</w:t>
            </w:r>
            <w:proofErr w:type="spellEnd"/>
            <w:r>
              <w:rPr>
                <w:rFonts w:ascii="Times New Roman" w:eastAsia="Times New Roman" w:hAnsi="Times New Roman" w:cs="Times New Roman"/>
                <w:sz w:val="24"/>
                <w:szCs w:val="24"/>
              </w:rPr>
              <w:t>, 2007, pág. 176).</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entonces entendido cada uno de los mecanismos desde su de ejecución. La verdad judicial se percibe como aquella obtenida a partir de los procesos judiciales llevados a cabo en contra de los victimarios, la extrajudicial institucionalizada contempla la reconstrucción de la verdad en espacios institucionalizados y creados expresamente para este ejercicio como son las Comisiones de la verdad y las verdades </w:t>
            </w:r>
            <w:proofErr w:type="gramStart"/>
            <w:r>
              <w:rPr>
                <w:rFonts w:ascii="Times New Roman" w:eastAsia="Times New Roman" w:hAnsi="Times New Roman" w:cs="Times New Roman"/>
                <w:sz w:val="24"/>
                <w:szCs w:val="24"/>
              </w:rPr>
              <w:t>sociales  que</w:t>
            </w:r>
            <w:proofErr w:type="gramEnd"/>
            <w:r>
              <w:rPr>
                <w:rFonts w:ascii="Times New Roman" w:eastAsia="Times New Roman" w:hAnsi="Times New Roman" w:cs="Times New Roman"/>
                <w:sz w:val="24"/>
                <w:szCs w:val="24"/>
              </w:rPr>
              <w:t xml:space="preserve"> se construyen a partir de los procesos de memoria colectiva en espacios no institucionalizados.</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Fundamental es entonces la revisión de las fortalezas y debilidades de cada mecanismo.</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Según Rodrigo </w:t>
            </w:r>
            <w:proofErr w:type="spellStart"/>
            <w:proofErr w:type="gramStart"/>
            <w:r>
              <w:rPr>
                <w:rFonts w:ascii="Times New Roman" w:eastAsia="Times New Roman" w:hAnsi="Times New Roman" w:cs="Times New Roman"/>
                <w:sz w:val="24"/>
                <w:szCs w:val="24"/>
              </w:rPr>
              <w:t>Uprimny</w:t>
            </w:r>
            <w:proofErr w:type="spellEnd"/>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2007) con relación a la verdad judicial se evidencian fortalezas como su integralidad al incluir los relatos y testimonios de actores variados que pueden ser controvertidos; se construye en público; tiene connotación de cosa jugada; obtenida a través de conminación o allanamiento; es difícilmente contestable; conlleva responsabilidades individuales. Con relación a sus debilidades las más representativas son todas las afectaciones de la ineficacia del sistema judicial como rigidez procesal, pérdida de tiempos o altos costos; tiende a ser fragmentaria, se tilda de insensible frente al dolor o necesidad de las víctimas y es unilateral.  </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mismo autor refiere también lo concerniente a la verdad extrajudicial. Dentro de sus fortalezas se contemplan la enorme sensibilidad con relación al sentir de las víctimas, siendo éstas su prioridad; se contempla como global dando una mirada de conjunto a los crímenes; conlleva menores costos, mayor agilidad procesal y agilidad; se connota como integral al tener en cuenta todas las perspectivas de los hechos. Así mismo, sus principales debilidades se centran en lo debatible que se torna; su construcción en privado; falta de fuerza o convicción por la ausencia de la necesidad de prueba; no da cuenta de todas las versiones, no cuenta con el apoyo de facultades de carácter coercitivo y riesgo de inocuidad (</w:t>
            </w:r>
            <w:proofErr w:type="spellStart"/>
            <w:r>
              <w:rPr>
                <w:rFonts w:ascii="Times New Roman" w:eastAsia="Times New Roman" w:hAnsi="Times New Roman" w:cs="Times New Roman"/>
                <w:sz w:val="24"/>
                <w:szCs w:val="24"/>
              </w:rPr>
              <w:t>Uprimny</w:t>
            </w:r>
            <w:proofErr w:type="spellEnd"/>
            <w:r>
              <w:rPr>
                <w:rFonts w:ascii="Times New Roman" w:eastAsia="Times New Roman" w:hAnsi="Times New Roman" w:cs="Times New Roman"/>
                <w:sz w:val="24"/>
                <w:szCs w:val="24"/>
              </w:rPr>
              <w:t>, 2007, pág. 174).</w:t>
            </w:r>
          </w:p>
          <w:p w:rsidR="0091007F" w:rsidRDefault="00EE65C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Verdad y memoria</w:t>
            </w:r>
          </w:p>
          <w:p w:rsidR="0091007F" w:rsidRDefault="00EE65C3">
            <w:pPr>
              <w:spacing w:after="120" w:line="240" w:lineRule="auto"/>
              <w:jc w:val="both"/>
              <w:rPr>
                <w:rFonts w:ascii="Arial" w:eastAsia="Arial" w:hAnsi="Arial" w:cs="Arial"/>
                <w:color w:val="000000"/>
              </w:rPr>
            </w:pPr>
            <w:r>
              <w:rPr>
                <w:rFonts w:ascii="Times New Roman" w:eastAsia="Times New Roman" w:hAnsi="Times New Roman" w:cs="Times New Roman"/>
                <w:color w:val="000000"/>
                <w:sz w:val="24"/>
                <w:szCs w:val="24"/>
              </w:rPr>
              <w:t>“La memoria es un hecho y un suceso colectivo. La existencia de un lenguaje y significación común a los miembros de un grupo hacen que estos vuelvan a su pasado de manera colectiva” (</w:t>
            </w:r>
            <w:proofErr w:type="spellStart"/>
            <w:r>
              <w:rPr>
                <w:rFonts w:ascii="Times New Roman" w:eastAsia="Times New Roman" w:hAnsi="Times New Roman" w:cs="Times New Roman"/>
                <w:color w:val="000000"/>
                <w:sz w:val="24"/>
                <w:szCs w:val="24"/>
              </w:rPr>
              <w:t>Halbwach</w:t>
            </w:r>
            <w:proofErr w:type="spellEnd"/>
            <w:r>
              <w:rPr>
                <w:rFonts w:ascii="Times New Roman" w:eastAsia="Times New Roman" w:hAnsi="Times New Roman" w:cs="Times New Roman"/>
                <w:color w:val="000000"/>
                <w:sz w:val="24"/>
                <w:szCs w:val="24"/>
              </w:rPr>
              <w:t>, 2002)</w:t>
            </w:r>
            <w:r>
              <w:rPr>
                <w:rFonts w:ascii="Arial" w:eastAsia="Arial" w:hAnsi="Arial" w:cs="Arial"/>
                <w:i/>
                <w:color w:val="000000"/>
              </w:rPr>
              <w:t>.</w:t>
            </w:r>
          </w:p>
          <w:p w:rsidR="0091007F" w:rsidRDefault="00EE65C3">
            <w:pPr>
              <w:shd w:val="clear" w:color="auto" w:fill="FFFFFF"/>
              <w:spacing w:before="280" w:after="28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Dentro de las medidas de satisfacción constituidas a partir de la resolución del 21 de marzo de 2006 de la Asamblea de Naciones Unidas, se vislumbra el tema de la memoria como una forma de reparación que desde los recuerdos individuales, colectivos, comunitarios o familiares, constituyen procesos de dignificación para las víctimas de violaciones de derechos humanos, crítica visible hacia los victimarios, elaboración de los procesos de duelo y garantía de no repetición de los hechos violentos.   Es a partir de la reconstrucción de la memoria donde las víctimas se empoderan y se convierten en actores fundamentales en los posibles cambios estructurales e institucionales con relación a la protección de los derechos humanos y la adquisición de la verdad, así como forja el camino hacia la reconciliación. </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Como se plantea anteriormente, el </w:t>
            </w:r>
            <w:proofErr w:type="gramStart"/>
            <w:r>
              <w:rPr>
                <w:rFonts w:ascii="Times New Roman" w:eastAsia="Times New Roman" w:hAnsi="Times New Roman" w:cs="Times New Roman"/>
                <w:color w:val="000000"/>
                <w:sz w:val="24"/>
                <w:szCs w:val="24"/>
              </w:rPr>
              <w:t>concepto  de</w:t>
            </w:r>
            <w:proofErr w:type="gramEnd"/>
            <w:r>
              <w:rPr>
                <w:rFonts w:ascii="Times New Roman" w:eastAsia="Times New Roman" w:hAnsi="Times New Roman" w:cs="Times New Roman"/>
                <w:color w:val="000000"/>
                <w:sz w:val="24"/>
                <w:szCs w:val="24"/>
              </w:rPr>
              <w:t xml:space="preserve"> memoria desde sus antecedentes ha tenido relación directa con las víctimas, a tal punto que se ha convertido en el pilar fundamental en el reconocimiento de los derechos de éstas a la Verdad, a la Justicia y a la Reparación. </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derecho a la verdad corresponde al deber del estado de su constante esclarecimiento y así mismo a la preservación de la memoria colectiva que impide la </w:t>
            </w:r>
            <w:proofErr w:type="gramStart"/>
            <w:r>
              <w:rPr>
                <w:rFonts w:ascii="Times New Roman" w:eastAsia="Times New Roman" w:hAnsi="Times New Roman" w:cs="Times New Roman"/>
                <w:sz w:val="24"/>
                <w:szCs w:val="24"/>
              </w:rPr>
              <w:t>impunidad  y</w:t>
            </w:r>
            <w:proofErr w:type="gramEnd"/>
            <w:r>
              <w:rPr>
                <w:rFonts w:ascii="Times New Roman" w:eastAsia="Times New Roman" w:hAnsi="Times New Roman" w:cs="Times New Roman"/>
                <w:sz w:val="24"/>
                <w:szCs w:val="24"/>
              </w:rPr>
              <w:t xml:space="preserve"> garantiza la no repetición de los hechos vulneradores.  El </w:t>
            </w:r>
            <w:proofErr w:type="gramStart"/>
            <w:r>
              <w:rPr>
                <w:rFonts w:ascii="Times New Roman" w:eastAsia="Times New Roman" w:hAnsi="Times New Roman" w:cs="Times New Roman"/>
                <w:sz w:val="24"/>
                <w:szCs w:val="24"/>
              </w:rPr>
              <w:t>interés  por</w:t>
            </w:r>
            <w:proofErr w:type="gramEnd"/>
            <w:r>
              <w:rPr>
                <w:rFonts w:ascii="Times New Roman" w:eastAsia="Times New Roman" w:hAnsi="Times New Roman" w:cs="Times New Roman"/>
                <w:sz w:val="24"/>
                <w:szCs w:val="24"/>
              </w:rPr>
              <w:t xml:space="preserve"> el tema de la memoria ha venido incrementándose notoriamente, en la medida en que se convierte en la herramienta fundamental para la eliminación de la amnesia colectiva y el olvido; los relatos de las víctimas, que en algún momento fueron excluidos comienzan a tener enormes connotaciones dentro de los ejercicios de exigencia de justicia para la proyección de las acciones debidas.</w:t>
            </w:r>
          </w:p>
          <w:p w:rsidR="0091007F" w:rsidRDefault="00EE65C3">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Narrativas de la memoria</w:t>
            </w:r>
          </w:p>
          <w:p w:rsidR="0091007F" w:rsidRDefault="00EE65C3">
            <w:pPr>
              <w:shd w:val="clear" w:color="auto" w:fill="FFFFFF"/>
              <w:spacing w:before="100" w:after="100" w:line="240" w:lineRule="auto"/>
              <w:jc w:val="both"/>
              <w:rPr>
                <w:rFonts w:ascii="Times New Roman" w:eastAsia="Times New Roman" w:hAnsi="Times New Roman" w:cs="Times New Roman"/>
              </w:rPr>
            </w:pPr>
            <w:bookmarkStart w:id="2" w:name="_heading=h.30j0zll" w:colFirst="0" w:colLast="0"/>
            <w:bookmarkEnd w:id="2"/>
            <w:r>
              <w:rPr>
                <w:rFonts w:ascii="Times New Roman" w:eastAsia="Times New Roman" w:hAnsi="Times New Roman" w:cs="Times New Roman"/>
                <w:color w:val="000000"/>
                <w:sz w:val="24"/>
                <w:szCs w:val="24"/>
              </w:rPr>
              <w:t xml:space="preserve">Las formas de transmisión de la memoria se modifican y varían según el grupo o comunidad que </w:t>
            </w:r>
            <w:proofErr w:type="gramStart"/>
            <w:r>
              <w:rPr>
                <w:rFonts w:ascii="Times New Roman" w:eastAsia="Times New Roman" w:hAnsi="Times New Roman" w:cs="Times New Roman"/>
                <w:color w:val="000000"/>
                <w:sz w:val="24"/>
                <w:szCs w:val="24"/>
              </w:rPr>
              <w:t>transmite;  ésta</w:t>
            </w:r>
            <w:proofErr w:type="gramEnd"/>
            <w:r>
              <w:rPr>
                <w:rFonts w:ascii="Times New Roman" w:eastAsia="Times New Roman" w:hAnsi="Times New Roman" w:cs="Times New Roman"/>
                <w:color w:val="000000"/>
                <w:sz w:val="24"/>
                <w:szCs w:val="24"/>
              </w:rPr>
              <w:t xml:space="preserve"> es la razón fundamental para que las formas narrativas de las víctimas y las organizaciones de derechos humanos tengan características alternativas de comunicación, pues en la gran mayoría de los </w:t>
            </w:r>
            <w:r>
              <w:rPr>
                <w:rFonts w:ascii="Times New Roman" w:eastAsia="Times New Roman" w:hAnsi="Times New Roman" w:cs="Times New Roman"/>
                <w:color w:val="000000"/>
                <w:sz w:val="24"/>
                <w:szCs w:val="24"/>
              </w:rPr>
              <w:lastRenderedPageBreak/>
              <w:t xml:space="preserve">casos no acceden a los medios masivos de comunicación; suelen recurrir a la utilización de </w:t>
            </w:r>
            <w:proofErr w:type="spellStart"/>
            <w:r>
              <w:rPr>
                <w:rFonts w:ascii="Times New Roman" w:eastAsia="Times New Roman" w:hAnsi="Times New Roman" w:cs="Times New Roman"/>
                <w:color w:val="000000"/>
                <w:sz w:val="24"/>
                <w:szCs w:val="24"/>
              </w:rPr>
              <w:t>micromedios</w:t>
            </w:r>
            <w:proofErr w:type="spellEnd"/>
            <w:r>
              <w:rPr>
                <w:rFonts w:ascii="Times New Roman" w:eastAsia="Times New Roman" w:hAnsi="Times New Roman" w:cs="Times New Roman"/>
                <w:color w:val="000000"/>
                <w:sz w:val="24"/>
                <w:szCs w:val="24"/>
              </w:rPr>
              <w:t xml:space="preserve"> donde lo simbólico, lo artístico, el relato, las galerías suelen ser comunes</w:t>
            </w:r>
            <w:r>
              <w:rPr>
                <w:rFonts w:ascii="Times New Roman" w:eastAsia="Times New Roman" w:hAnsi="Times New Roman" w:cs="Times New Roman"/>
                <w:color w:val="000000"/>
              </w:rPr>
              <w:t xml:space="preserve">. </w:t>
            </w:r>
          </w:p>
          <w:p w:rsidR="0091007F" w:rsidRDefault="00EE65C3">
            <w:pPr>
              <w:shd w:val="clear" w:color="auto" w:fill="FFFFFF"/>
              <w:spacing w:before="100" w:after="100" w:line="240" w:lineRule="auto"/>
              <w:jc w:val="both"/>
              <w:rPr>
                <w:rFonts w:ascii="Times New Roman" w:eastAsia="Times New Roman" w:hAnsi="Times New Roman" w:cs="Times New Roman"/>
                <w:color w:val="000000"/>
                <w:sz w:val="24"/>
                <w:szCs w:val="24"/>
              </w:rPr>
            </w:pPr>
            <w:bookmarkStart w:id="3" w:name="_heading=h.2proca4ehr0l" w:colFirst="0" w:colLast="0"/>
            <w:bookmarkEnd w:id="3"/>
            <w:r>
              <w:rPr>
                <w:rFonts w:ascii="Times New Roman" w:eastAsia="Times New Roman" w:hAnsi="Times New Roman" w:cs="Times New Roman"/>
                <w:color w:val="000000"/>
                <w:sz w:val="24"/>
                <w:szCs w:val="24"/>
              </w:rPr>
              <w:t xml:space="preserve">“Las repeticiones y dramatizaciones traumáticas son trágicamente solitarias, mientras que las memorias narrativas son construcciones sociales comunicables a otros </w:t>
            </w:r>
            <w:proofErr w:type="gramStart"/>
            <w:r>
              <w:rPr>
                <w:rFonts w:ascii="Times New Roman" w:eastAsia="Times New Roman" w:hAnsi="Times New Roman" w:cs="Times New Roman"/>
                <w:color w:val="000000"/>
                <w:sz w:val="24"/>
                <w:szCs w:val="24"/>
              </w:rPr>
              <w:t>“ (</w:t>
            </w:r>
            <w:proofErr w:type="spellStart"/>
            <w:proofErr w:type="gramEnd"/>
            <w:r>
              <w:rPr>
                <w:rFonts w:ascii="Times New Roman" w:eastAsia="Times New Roman" w:hAnsi="Times New Roman" w:cs="Times New Roman"/>
                <w:color w:val="000000"/>
                <w:sz w:val="24"/>
                <w:szCs w:val="24"/>
              </w:rPr>
              <w:t>Jelin</w:t>
            </w:r>
            <w:proofErr w:type="spellEnd"/>
            <w:r>
              <w:rPr>
                <w:rFonts w:ascii="Times New Roman" w:eastAsia="Times New Roman" w:hAnsi="Times New Roman" w:cs="Times New Roman"/>
                <w:color w:val="000000"/>
                <w:sz w:val="24"/>
                <w:szCs w:val="24"/>
              </w:rPr>
              <w:t>, 2018)”</w:t>
            </w:r>
          </w:p>
          <w:p w:rsidR="0091007F" w:rsidRDefault="00EE65C3">
            <w:pPr>
              <w:spacing w:after="0" w:line="24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En el actual proyecto es </w:t>
            </w:r>
            <w:proofErr w:type="gramStart"/>
            <w:r>
              <w:rPr>
                <w:rFonts w:ascii="Times New Roman" w:eastAsia="Times New Roman" w:hAnsi="Times New Roman" w:cs="Times New Roman"/>
                <w:color w:val="222222"/>
                <w:sz w:val="24"/>
                <w:szCs w:val="24"/>
              </w:rPr>
              <w:t>fundamental  la</w:t>
            </w:r>
            <w:proofErr w:type="gramEnd"/>
            <w:r>
              <w:rPr>
                <w:rFonts w:ascii="Times New Roman" w:eastAsia="Times New Roman" w:hAnsi="Times New Roman" w:cs="Times New Roman"/>
                <w:color w:val="222222"/>
                <w:sz w:val="24"/>
                <w:szCs w:val="24"/>
              </w:rPr>
              <w:t xml:space="preserve"> recopilación de  las formas narrativas  y relatos de las comunidades de Altos de </w:t>
            </w:r>
            <w:proofErr w:type="spellStart"/>
            <w:r>
              <w:rPr>
                <w:rFonts w:ascii="Times New Roman" w:eastAsia="Times New Roman" w:hAnsi="Times New Roman" w:cs="Times New Roman"/>
                <w:color w:val="222222"/>
                <w:sz w:val="24"/>
                <w:szCs w:val="24"/>
              </w:rPr>
              <w:t>Cazucá</w:t>
            </w:r>
            <w:proofErr w:type="spellEnd"/>
            <w:r>
              <w:rPr>
                <w:rFonts w:ascii="Times New Roman" w:eastAsia="Times New Roman" w:hAnsi="Times New Roman" w:cs="Times New Roman"/>
                <w:color w:val="222222"/>
                <w:sz w:val="24"/>
                <w:szCs w:val="24"/>
              </w:rPr>
              <w:t xml:space="preserve"> y Catatumbo, para conseguir así una comprensión de sus formas de esclarecimiento de la verdad y reconstrucción de la memoria como alternativa de mantenimiento de paz y alcance de la reconciliación . Es pertinente aclarar que dichas narrativas y relatos están permeados por su contexto y relacionamiento con su realidad, lo que conlleva a diferencias entre su </w:t>
            </w:r>
            <w:proofErr w:type="spellStart"/>
            <w:r>
              <w:rPr>
                <w:rFonts w:ascii="Times New Roman" w:eastAsia="Times New Roman" w:hAnsi="Times New Roman" w:cs="Times New Roman"/>
                <w:color w:val="222222"/>
                <w:sz w:val="24"/>
                <w:szCs w:val="24"/>
              </w:rPr>
              <w:t>visibilización</w:t>
            </w:r>
            <w:proofErr w:type="spellEnd"/>
            <w:r>
              <w:rPr>
                <w:rFonts w:ascii="Times New Roman" w:eastAsia="Times New Roman" w:hAnsi="Times New Roman" w:cs="Times New Roman"/>
                <w:color w:val="222222"/>
                <w:sz w:val="24"/>
                <w:szCs w:val="24"/>
              </w:rPr>
              <w:t xml:space="preserve"> entre el sector suburbano </w:t>
            </w:r>
            <w:proofErr w:type="gramStart"/>
            <w:r>
              <w:rPr>
                <w:rFonts w:ascii="Times New Roman" w:eastAsia="Times New Roman" w:hAnsi="Times New Roman" w:cs="Times New Roman"/>
                <w:color w:val="222222"/>
                <w:sz w:val="24"/>
                <w:szCs w:val="24"/>
              </w:rPr>
              <w:t>y  la</w:t>
            </w:r>
            <w:proofErr w:type="gramEnd"/>
            <w:r>
              <w:rPr>
                <w:rFonts w:ascii="Times New Roman" w:eastAsia="Times New Roman" w:hAnsi="Times New Roman" w:cs="Times New Roman"/>
                <w:color w:val="222222"/>
                <w:sz w:val="24"/>
                <w:szCs w:val="24"/>
              </w:rPr>
              <w:t xml:space="preserve"> región. Es fundamental entonces hacer una identificación clara de las mismas. </w:t>
            </w:r>
          </w:p>
          <w:p w:rsidR="0091007F" w:rsidRDefault="00EE65C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experiencias se relacionan directamente con los lenguajes utilizados. Las comunidades que elaboran procesos de memoria alrededor de hechos </w:t>
            </w:r>
            <w:proofErr w:type="spellStart"/>
            <w:r>
              <w:rPr>
                <w:rFonts w:ascii="Times New Roman" w:eastAsia="Times New Roman" w:hAnsi="Times New Roman" w:cs="Times New Roman"/>
                <w:sz w:val="24"/>
                <w:szCs w:val="24"/>
              </w:rPr>
              <w:t>vulneratorios</w:t>
            </w:r>
            <w:proofErr w:type="spellEnd"/>
            <w:r>
              <w:rPr>
                <w:rFonts w:ascii="Times New Roman" w:eastAsia="Times New Roman" w:hAnsi="Times New Roman" w:cs="Times New Roman"/>
                <w:sz w:val="24"/>
                <w:szCs w:val="24"/>
              </w:rPr>
              <w:t xml:space="preserve">, dolorosos o traumáticos abordan nuevas formas narrativas que se terminan constituyendo como formas de resistencia ante las versiones históricas oficiales. Se estructuran relatos llenos de lógicas verosímiles que perciben la articulación entre lo relatado y lo recordado, discursos y experiencias pasadas llenas de significación dentro de las colectividades. Es pertinente entonces ver no sólo qué se está diciendo, sino las formas en las que se cuentan, se constituyen en narrativas constructoras de sentido, percibiendo la realidad y </w:t>
            </w:r>
            <w:proofErr w:type="gramStart"/>
            <w:r>
              <w:rPr>
                <w:rFonts w:ascii="Times New Roman" w:eastAsia="Times New Roman" w:hAnsi="Times New Roman" w:cs="Times New Roman"/>
                <w:sz w:val="24"/>
                <w:szCs w:val="24"/>
              </w:rPr>
              <w:t>la  localización</w:t>
            </w:r>
            <w:proofErr w:type="gramEnd"/>
            <w:r>
              <w:rPr>
                <w:rFonts w:ascii="Times New Roman" w:eastAsia="Times New Roman" w:hAnsi="Times New Roman" w:cs="Times New Roman"/>
                <w:sz w:val="24"/>
                <w:szCs w:val="24"/>
              </w:rPr>
              <w:t xml:space="preserve"> de los individuos  en su entorno.   Es así como obligatoriamente toda narrativa y toda mediación lingüística se constituya como social.</w:t>
            </w:r>
          </w:p>
          <w:p w:rsidR="0091007F" w:rsidRDefault="00EE65C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narrativa más contundente en los procesos de adquisición de verdad y reconstrucción de la memoria es la palabra a través del testimonio.  </w:t>
            </w:r>
          </w:p>
          <w:p w:rsidR="0091007F" w:rsidRDefault="00EE65C3">
            <w:pPr>
              <w:spacing w:after="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De</w:t>
            </w:r>
            <w:proofErr w:type="gramEnd"/>
            <w:r>
              <w:rPr>
                <w:rFonts w:ascii="Times New Roman" w:eastAsia="Times New Roman" w:hAnsi="Times New Roman" w:cs="Times New Roman"/>
                <w:sz w:val="24"/>
                <w:szCs w:val="24"/>
              </w:rPr>
              <w:t xml:space="preserve"> los testimonios de tipo personal, a menudo muy cortos y de un estilo desgarrador, emerge más bien una gran soledad, un aislamiento social roto por algunos lazos sociales de amistad y solidaridad muy fuertes” (</w:t>
            </w:r>
            <w:proofErr w:type="spellStart"/>
            <w:r>
              <w:rPr>
                <w:rFonts w:ascii="Times New Roman" w:eastAsia="Times New Roman" w:hAnsi="Times New Roman" w:cs="Times New Roman"/>
                <w:sz w:val="24"/>
                <w:szCs w:val="24"/>
              </w:rPr>
              <w:t>Pollak</w:t>
            </w:r>
            <w:proofErr w:type="spellEnd"/>
            <w:r>
              <w:rPr>
                <w:rFonts w:ascii="Times New Roman" w:eastAsia="Times New Roman" w:hAnsi="Times New Roman" w:cs="Times New Roman"/>
                <w:sz w:val="24"/>
                <w:szCs w:val="24"/>
              </w:rPr>
              <w:t>, 2006, pág. 65).</w:t>
            </w:r>
          </w:p>
          <w:p w:rsidR="0091007F" w:rsidRDefault="0091007F">
            <w:pPr>
              <w:spacing w:after="0" w:line="240" w:lineRule="auto"/>
              <w:jc w:val="both"/>
              <w:rPr>
                <w:rFonts w:ascii="Times New Roman" w:eastAsia="Times New Roman" w:hAnsi="Times New Roman" w:cs="Times New Roman"/>
                <w:sz w:val="24"/>
                <w:szCs w:val="24"/>
              </w:rPr>
            </w:pPr>
          </w:p>
          <w:p w:rsidR="0091007F" w:rsidRDefault="00EE65C3">
            <w:p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Memoria, verdad y pos acuerdo</w:t>
            </w:r>
          </w:p>
          <w:p w:rsidR="0091007F" w:rsidRDefault="00EE65C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pos acuerdo puede ser comprendido como</w:t>
            </w:r>
            <w:r>
              <w:rPr>
                <w:rFonts w:ascii="Times New Roman" w:eastAsia="Times New Roman" w:hAnsi="Times New Roman" w:cs="Times New Roman"/>
              </w:rPr>
              <w:t xml:space="preserve"> “</w:t>
            </w:r>
            <w:r>
              <w:rPr>
                <w:rFonts w:ascii="Times New Roman" w:eastAsia="Times New Roman" w:hAnsi="Times New Roman" w:cs="Times New Roman"/>
                <w:sz w:val="24"/>
                <w:szCs w:val="24"/>
              </w:rPr>
              <w:t>un tránsito de un período de violencia a otro que busca fortalecer la paz, como consecuencia de los acuerdos con grupos insurgentes” (</w:t>
            </w:r>
            <w:proofErr w:type="spellStart"/>
            <w:r>
              <w:rPr>
                <w:rFonts w:ascii="Times New Roman" w:eastAsia="Times New Roman" w:hAnsi="Times New Roman" w:cs="Times New Roman"/>
                <w:sz w:val="24"/>
                <w:szCs w:val="24"/>
              </w:rPr>
              <w:t>Cubides</w:t>
            </w:r>
            <w:proofErr w:type="spellEnd"/>
            <w:r>
              <w:rPr>
                <w:rFonts w:ascii="Times New Roman" w:eastAsia="Times New Roman" w:hAnsi="Times New Roman" w:cs="Times New Roman"/>
                <w:sz w:val="24"/>
                <w:szCs w:val="24"/>
              </w:rPr>
              <w:t xml:space="preserve">, 2018).  Así entendido, el pos acuerdo debería ser contemplado como aquella temporalidad en la cuál es posible la reconstrucción de los Estados, intentando avanzar más allá de los escalofriantes horrores de los conflictos armados, procurando eliminar las causas estructurales que degeneraron en dicho conflicto. </w:t>
            </w:r>
          </w:p>
          <w:p w:rsidR="0091007F" w:rsidRDefault="0091007F">
            <w:pPr>
              <w:spacing w:after="0" w:line="240" w:lineRule="auto"/>
              <w:jc w:val="both"/>
              <w:rPr>
                <w:rFonts w:ascii="Times New Roman" w:eastAsia="Times New Roman" w:hAnsi="Times New Roman" w:cs="Times New Roman"/>
                <w:sz w:val="24"/>
                <w:szCs w:val="24"/>
              </w:rPr>
            </w:pPr>
          </w:p>
          <w:p w:rsidR="0091007F" w:rsidRDefault="00EE65C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así, que si el pos acuerdo se considera como la puerta para la reconstrucción institucional y estatal, es entonces fundamental el esclarecimiento de la verdad sobre los crímenes de derechos humanos (dentro de los marcos de verdad no institucional) , de la mano de la reconstrucción de la memoria colectiva que dignifica a las víctimas y canaliza los procesos de reconciliación, porque dicha reconstrucción no debe depender sólo de las víctimas y sus victimarios sino que debe conocerse en las sociedades  - dentro de su derecho de conocimiento-, para garantizar la no repetición  de los hechos,  constituir sanciones morales a los victimarios y constituir marcos de reparación integral a las víctimas, acordes con los daños.</w:t>
            </w:r>
          </w:p>
          <w:p w:rsidR="0091007F" w:rsidRDefault="00EE65C3">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marco de la justicia, las soluciones transformadoras, en este caso la reivindicación de la memoria, tienen que ver con la corrección de las inequidades y reconocimientos fallidos que recaen sobre la guerra” (Garay, 2012, pág. 121)</w:t>
            </w:r>
          </w:p>
          <w:p w:rsidR="0091007F" w:rsidRDefault="00EE65C3">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Cultura de paz</w:t>
            </w:r>
          </w:p>
          <w:p w:rsidR="0091007F" w:rsidRDefault="00EE65C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concepto de paz que debe enarbolarse como estandarte en la educación, va más allá del concepto de la “no guerra”. Se determina desde el hecho de la existencia del conflicto en todas las múltiples relaciones humanas, por ello el concepto cambia y desarrolla un nuevo enfoque que puede alimentar la </w:t>
            </w:r>
            <w:r>
              <w:rPr>
                <w:rFonts w:ascii="Times New Roman" w:eastAsia="Times New Roman" w:hAnsi="Times New Roman" w:cs="Times New Roman"/>
                <w:sz w:val="24"/>
                <w:szCs w:val="24"/>
              </w:rPr>
              <w:lastRenderedPageBreak/>
              <w:t>educación “En la actualidad el concepto de paz es entendido como significado de la acción humana, permanentemente discutido y redefinido; descartando considerar la paz como un estado de armonía social, entendiéndose más bien como una “paz imperfecta” (Muñoz, 2002) por su carácter complejo, inacabado, incierto y cambiante.” (García, 2014, p. 547).</w:t>
            </w:r>
          </w:p>
          <w:p w:rsidR="0091007F" w:rsidRDefault="00EE65C3">
            <w:pPr>
              <w:spacing w:after="100" w:line="240" w:lineRule="auto"/>
              <w:jc w:val="both"/>
              <w:rPr>
                <w:rFonts w:ascii="Times New Roman" w:eastAsia="Times New Roman" w:hAnsi="Times New Roman" w:cs="Times New Roman"/>
                <w:sz w:val="24"/>
                <w:szCs w:val="24"/>
              </w:rPr>
            </w:pPr>
            <w:bookmarkStart w:id="4" w:name="_heading=h.pt27xkp39j72" w:colFirst="0" w:colLast="0"/>
            <w:bookmarkEnd w:id="4"/>
            <w:r>
              <w:rPr>
                <w:rFonts w:ascii="Times New Roman" w:eastAsia="Times New Roman" w:hAnsi="Times New Roman" w:cs="Times New Roman"/>
                <w:sz w:val="24"/>
                <w:szCs w:val="24"/>
              </w:rPr>
              <w:t>La preocupación de concretar este concepto nace también de la visión de instituciones que aportan desde su quehacer a la construcción de paz “La UNESCO a partir de 1948 ha ido incorporando los llamados Derechos de Tercera Generación, entre los que destaca el derecho a la paz, como derecho a vivir en paz, al respeto a la vida y a una vida digna. En documentos más recientes, se destaca que la educación es la clave para llevar a cabo un proyecto común para la construcción de la paz y el progreso de los pueblos, planteando como gran desafío invertir concienzudamente en una educación para todos, durante toda la vida</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Sánchez, et al., 2017, p. 115). La educación aparece como el mecanismo efectivo de transformación social a partir de la enseñanza de una convivencia pacífica y que propenda por el desarrollo de la comunidad. </w:t>
            </w:r>
          </w:p>
          <w:p w:rsidR="0091007F" w:rsidRDefault="00EE65C3">
            <w:pPr>
              <w:spacing w:line="240" w:lineRule="auto"/>
              <w:jc w:val="both"/>
              <w:rPr>
                <w:rFonts w:ascii="Times New Roman" w:eastAsia="Times New Roman" w:hAnsi="Times New Roman" w:cs="Times New Roman"/>
                <w:sz w:val="24"/>
                <w:szCs w:val="24"/>
              </w:rPr>
            </w:pPr>
            <w:bookmarkStart w:id="5" w:name="_heading=h.i510bp9t702n" w:colFirst="0" w:colLast="0"/>
            <w:bookmarkEnd w:id="5"/>
            <w:r>
              <w:rPr>
                <w:rFonts w:ascii="Times New Roman" w:eastAsia="Times New Roman" w:hAnsi="Times New Roman" w:cs="Times New Roman"/>
                <w:sz w:val="24"/>
                <w:szCs w:val="24"/>
              </w:rPr>
              <w:t xml:space="preserve">“La cultura puede entenderse como dimensión y expresión de la vida humana, mediante símbolos y artefactos; como el campo de producción, circulación y consumo de signos; y como una praxis que se articula en una teoría. Puede hablarse de cultura urbana, de cultura mediática, de cultura popular, de cultura de masas, de cultura letrada” (Instituto Mora, 2009, pág. 73). En este propósito el término de Cultura, nacido en la Roma antigua asignado a la acción de cultivar, se relaciona directamente con el proceso de enseñanza aprendizaje y por consiguiente al concepto de paz, “Los historiadores alemanes, en un principio, adoptan el término </w:t>
            </w:r>
            <w:proofErr w:type="spellStart"/>
            <w:r>
              <w:rPr>
                <w:rFonts w:ascii="Times New Roman" w:eastAsia="Times New Roman" w:hAnsi="Times New Roman" w:cs="Times New Roman"/>
                <w:sz w:val="24"/>
                <w:szCs w:val="24"/>
              </w:rPr>
              <w:t>kultur</w:t>
            </w:r>
            <w:proofErr w:type="spellEnd"/>
            <w:r>
              <w:rPr>
                <w:rFonts w:ascii="Times New Roman" w:eastAsia="Times New Roman" w:hAnsi="Times New Roman" w:cs="Times New Roman"/>
                <w:sz w:val="24"/>
                <w:szCs w:val="24"/>
              </w:rPr>
              <w:t xml:space="preserve">; tomándolo del término francés </w:t>
            </w:r>
            <w:proofErr w:type="spellStart"/>
            <w:r>
              <w:rPr>
                <w:rFonts w:ascii="Times New Roman" w:eastAsia="Times New Roman" w:hAnsi="Times New Roman" w:cs="Times New Roman"/>
                <w:sz w:val="24"/>
                <w:szCs w:val="24"/>
              </w:rPr>
              <w:t>cultur</w:t>
            </w:r>
            <w:proofErr w:type="spellEnd"/>
            <w:r>
              <w:rPr>
                <w:rFonts w:ascii="Times New Roman" w:eastAsia="Times New Roman" w:hAnsi="Times New Roman" w:cs="Times New Roman"/>
                <w:sz w:val="24"/>
                <w:szCs w:val="24"/>
              </w:rPr>
              <w:t xml:space="preserve">, el cual proviene del latín </w:t>
            </w:r>
            <w:proofErr w:type="spellStart"/>
            <w:r>
              <w:rPr>
                <w:rFonts w:ascii="Times New Roman" w:eastAsia="Times New Roman" w:hAnsi="Times New Roman" w:cs="Times New Roman"/>
                <w:sz w:val="24"/>
                <w:szCs w:val="24"/>
              </w:rPr>
              <w:t>colere</w:t>
            </w:r>
            <w:proofErr w:type="spellEnd"/>
            <w:r>
              <w:rPr>
                <w:rFonts w:ascii="Times New Roman" w:eastAsia="Times New Roman" w:hAnsi="Times New Roman" w:cs="Times New Roman"/>
                <w:sz w:val="24"/>
                <w:szCs w:val="24"/>
              </w:rPr>
              <w:t xml:space="preserve"> que significa cultivar en sentido agrícola. Sin embargo, éstos, lo utilizan para expresar el esfuerzo humano para cultivarse, para progresar hacia los valores de una cultura por excelencia (Del Arco, 1998).” (Hernández, 2005, pág. 74</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 Las culturas son tradiciones y costumbres, transmitidas mediante aprendizaje, donde se desarrollan las creencias y los comportamientos de los seres humanos expuestos en ellas. La cultura es el elemento estructurante a la hora de enfrentarse a las formas de violencia futuras, a través de construcciones mentales” (Jiménez Bautista, 2004 p 25).  </w:t>
            </w:r>
          </w:p>
          <w:p w:rsidR="0091007F" w:rsidRDefault="00EE65C3">
            <w:pPr>
              <w:spacing w:line="240" w:lineRule="auto"/>
              <w:jc w:val="both"/>
              <w:rPr>
                <w:rFonts w:ascii="Times New Roman" w:eastAsia="Times New Roman" w:hAnsi="Times New Roman" w:cs="Times New Roman"/>
                <w:sz w:val="24"/>
                <w:szCs w:val="24"/>
              </w:rPr>
            </w:pPr>
            <w:bookmarkStart w:id="6" w:name="_heading=h.74ln1z6yhh0i" w:colFirst="0" w:colLast="0"/>
            <w:bookmarkEnd w:id="6"/>
            <w:r>
              <w:rPr>
                <w:rFonts w:ascii="Times New Roman" w:eastAsia="Times New Roman" w:hAnsi="Times New Roman" w:cs="Times New Roman"/>
                <w:sz w:val="24"/>
                <w:szCs w:val="24"/>
              </w:rPr>
              <w:t>Los estudiantes son agentes activos en culturas que se intersecan, se comparten y se sustentan. “La cultura entonces es un vehículo o un medio por el cual se negocia la relación entre los grupos (</w:t>
            </w:r>
            <w:proofErr w:type="spellStart"/>
            <w:r>
              <w:rPr>
                <w:rFonts w:ascii="Times New Roman" w:eastAsia="Times New Roman" w:hAnsi="Times New Roman" w:cs="Times New Roman"/>
                <w:sz w:val="24"/>
                <w:szCs w:val="24"/>
              </w:rPr>
              <w:t>Jemerson</w:t>
            </w:r>
            <w:proofErr w:type="spellEnd"/>
            <w:r>
              <w:rPr>
                <w:rFonts w:ascii="Times New Roman" w:eastAsia="Times New Roman" w:hAnsi="Times New Roman" w:cs="Times New Roman"/>
                <w:sz w:val="24"/>
                <w:szCs w:val="24"/>
              </w:rPr>
              <w:t>), con un lugar de conflicto y un mecanismo de poder. Los sistemas de dominación encuentran un vehículo en la cultura en su sentido más amplio: la moda, los deportes, la comida, las artes y la literatura; en el gusto (Bourdieu).” (Instituto Mora, 2009, pág. 72) Todas ellas son alienadas y transformadas por ser entidades vivas que absorben de otras para evolucionar. “De esta manera, podemos apreciar que la cultura se aprende a través de un proceso de enculturación (o inculturación) tanto consciente como inconscientemente y de interacción con otros, mediante el cual se unifica a las personas, proporcionándole experiencias comunes.” (Hernández, 2005, pág. 76</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 Otros factores que se suman al dilema de enculturación son los que responden a la globalización, la posibilidad de enfrentarse a culturas de otros países, los intercambios académicos, tomado en cuenta desde la cultura de paz, establece la necesidad de adaptación a la que se enfrentan los estudiantes. “Los conflictos interculturales parecen multiplicarse en la geografía mundial. Sin embargo, aunque el elemento cultural se manifiesta cada vez con más fuerza en las relaciones internacionales, no hay que caer en la falacia de creer que todos los conflictos a los que se pone la etiqueta de interculturales no tienen otras causas, en ocasiones más importantes, políticas, sociales o económicas” (Alsina, 1999, pág. 10</w:t>
            </w:r>
            <w:proofErr w:type="gramStart"/>
            <w:r>
              <w:rPr>
                <w:rFonts w:ascii="Times New Roman" w:eastAsia="Times New Roman" w:hAnsi="Times New Roman" w:cs="Times New Roman"/>
                <w:sz w:val="24"/>
                <w:szCs w:val="24"/>
              </w:rPr>
              <w:t>) .</w:t>
            </w:r>
            <w:proofErr w:type="gramEnd"/>
          </w:p>
          <w:p w:rsidR="0091007F" w:rsidRDefault="00EE65C3">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cultura de paz propende por el desarrollo de competencias que permitan la sana convivencia, la resolución pacífica de conflictos y el desarrollo de prácticas que generen desarrollo al interior de la comunidad. “la construcción de la paz es una obra permanente, multidimensional y dinámica, que requiere el enraizamiento de valores pacíficos en la población. Debido a que la paz se construye, se aprende, nadie nace con los valores y actitudes que la avivan. Aquí radica la importancia de una educación para una auténtica cultura de paz, ella es a la vez una estrategia y un componente privilegiado para lograrlo</w:t>
            </w:r>
            <w:proofErr w:type="gramStart"/>
            <w:r>
              <w:rPr>
                <w:rFonts w:ascii="Times New Roman" w:eastAsia="Times New Roman" w:hAnsi="Times New Roman" w:cs="Times New Roman"/>
                <w:sz w:val="24"/>
                <w:szCs w:val="24"/>
              </w:rPr>
              <w:t>”.(</w:t>
            </w:r>
            <w:proofErr w:type="spellStart"/>
            <w:proofErr w:type="gramEnd"/>
            <w:r>
              <w:rPr>
                <w:rFonts w:ascii="Times New Roman" w:eastAsia="Times New Roman" w:hAnsi="Times New Roman" w:cs="Times New Roman"/>
                <w:sz w:val="24"/>
                <w:szCs w:val="24"/>
              </w:rPr>
              <w:t>Manjarres</w:t>
            </w:r>
            <w:proofErr w:type="spellEnd"/>
            <w:r>
              <w:rPr>
                <w:rFonts w:ascii="Times New Roman" w:eastAsia="Times New Roman" w:hAnsi="Times New Roman" w:cs="Times New Roman"/>
                <w:sz w:val="24"/>
                <w:szCs w:val="24"/>
              </w:rPr>
              <w:t xml:space="preserve">, 2001, p. 34). </w:t>
            </w:r>
          </w:p>
          <w:p w:rsidR="0091007F" w:rsidRDefault="00EE65C3">
            <w:pPr>
              <w:spacing w:line="240" w:lineRule="auto"/>
              <w:jc w:val="both"/>
              <w:rPr>
                <w:rFonts w:ascii="Times New Roman" w:eastAsia="Times New Roman" w:hAnsi="Times New Roman" w:cs="Times New Roman"/>
                <w:sz w:val="24"/>
                <w:szCs w:val="24"/>
              </w:rPr>
            </w:pPr>
            <w:bookmarkStart w:id="7" w:name="_heading=h.k7zsne1x2cse" w:colFirst="0" w:colLast="0"/>
            <w:bookmarkEnd w:id="7"/>
            <w:r>
              <w:rPr>
                <w:rFonts w:ascii="Times New Roman" w:eastAsia="Times New Roman" w:hAnsi="Times New Roman" w:cs="Times New Roman"/>
                <w:sz w:val="24"/>
                <w:szCs w:val="24"/>
              </w:rPr>
              <w:lastRenderedPageBreak/>
              <w:t xml:space="preserve">La cultura de paz responde a la necesidad de poner en conocimiento, los factores determinantes para la construcción de una paz imperfecta y se presenta de manera pedagógica a través de recursos didácticos para los estudiantes “La primera definición de cultura de paz se realizó en el Congreso Internacional de </w:t>
            </w:r>
            <w:proofErr w:type="spellStart"/>
            <w:r>
              <w:rPr>
                <w:rFonts w:ascii="Times New Roman" w:eastAsia="Times New Roman" w:hAnsi="Times New Roman" w:cs="Times New Roman"/>
                <w:sz w:val="24"/>
                <w:szCs w:val="24"/>
              </w:rPr>
              <w:t>Yamoussoukro</w:t>
            </w:r>
            <w:proofErr w:type="spellEnd"/>
            <w:r>
              <w:rPr>
                <w:rFonts w:ascii="Times New Roman" w:eastAsia="Times New Roman" w:hAnsi="Times New Roman" w:cs="Times New Roman"/>
                <w:sz w:val="24"/>
                <w:szCs w:val="24"/>
              </w:rPr>
              <w:t>, Costa de Marfil, en 1989. Posteriormente, la Asamblea General de Naciones Unidas la definió como un “conjunto de valores, actitudes, tradiciones, comportamientos y estilos de vida” basados en una serie de principios y compromisos, reconociendo expresamente que “la educación a todos los niveles es uno de los medios fundamentales para edificar una cultura de paz” (art. 4)</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Sánchez, et al., 2017, p. 115). </w:t>
            </w:r>
          </w:p>
          <w:p w:rsidR="0091007F" w:rsidRDefault="00EE65C3">
            <w:pPr>
              <w:jc w:val="both"/>
              <w:rPr>
                <w:rFonts w:ascii="Times New Roman" w:eastAsia="Times New Roman" w:hAnsi="Times New Roman" w:cs="Times New Roman"/>
                <w:sz w:val="24"/>
                <w:szCs w:val="24"/>
              </w:rPr>
            </w:pPr>
            <w:bookmarkStart w:id="8" w:name="_heading=h.x66hs15zi7ys" w:colFirst="0" w:colLast="0"/>
            <w:bookmarkEnd w:id="8"/>
            <w:r>
              <w:rPr>
                <w:rFonts w:ascii="Times New Roman" w:eastAsia="Times New Roman" w:hAnsi="Times New Roman" w:cs="Times New Roman"/>
                <w:sz w:val="24"/>
                <w:szCs w:val="24"/>
              </w:rPr>
              <w:t xml:space="preserve">Para este propósito es importante integrar al esquema educativo </w:t>
            </w:r>
            <w:proofErr w:type="gramStart"/>
            <w:r>
              <w:rPr>
                <w:rFonts w:ascii="Times New Roman" w:eastAsia="Times New Roman" w:hAnsi="Times New Roman" w:cs="Times New Roman"/>
                <w:sz w:val="24"/>
                <w:szCs w:val="24"/>
              </w:rPr>
              <w:t>los demás hábitat</w:t>
            </w:r>
            <w:proofErr w:type="gramEnd"/>
            <w:r>
              <w:rPr>
                <w:rFonts w:ascii="Times New Roman" w:eastAsia="Times New Roman" w:hAnsi="Times New Roman" w:cs="Times New Roman"/>
                <w:sz w:val="24"/>
                <w:szCs w:val="24"/>
              </w:rPr>
              <w:t xml:space="preserve"> en donde el estudiante desarrolla sus competencias en torno a las virtudes, como la familia y la sociedad. La educación debe trascender desde la acción del mismo estudiante a la familia y por este mismo medio, a la sociedad. Así lo plantea </w:t>
            </w:r>
            <w:proofErr w:type="spellStart"/>
            <w:r>
              <w:rPr>
                <w:rFonts w:ascii="Times New Roman" w:eastAsia="Times New Roman" w:hAnsi="Times New Roman" w:cs="Times New Roman"/>
                <w:sz w:val="24"/>
                <w:szCs w:val="24"/>
              </w:rPr>
              <w:t>Xesus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Jares</w:t>
            </w:r>
            <w:proofErr w:type="spellEnd"/>
            <w:r>
              <w:rPr>
                <w:rFonts w:ascii="Times New Roman" w:eastAsia="Times New Roman" w:hAnsi="Times New Roman" w:cs="Times New Roman"/>
                <w:sz w:val="24"/>
                <w:szCs w:val="24"/>
              </w:rPr>
              <w:t xml:space="preserve"> (2003 p. 99) “la educación para la convivencia no pretende enseñar únicamente determinadas estrategias, pretende construir una nueva cultura y relaciones sociales donde la violencia no tenga cabida y se propicie una cultura de paz que proclame el respeto a la diferencia, la diversidad del florecimiento individual y colectivo en tanto patrimonio de la humanidad”.</w:t>
            </w:r>
          </w:p>
        </w:tc>
      </w:tr>
    </w:tbl>
    <w:p w:rsidR="0091007F" w:rsidRDefault="0091007F">
      <w:pPr>
        <w:spacing w:after="0" w:line="240" w:lineRule="auto"/>
        <w:rPr>
          <w:rFonts w:ascii="Times New Roman" w:eastAsia="Times New Roman" w:hAnsi="Times New Roman" w:cs="Times New Roman"/>
          <w:sz w:val="24"/>
          <w:szCs w:val="24"/>
        </w:rPr>
      </w:pPr>
    </w:p>
    <w:tbl>
      <w:tblPr>
        <w:tblStyle w:val="a8"/>
        <w:tblW w:w="14983" w:type="dxa"/>
        <w:tblInd w:w="0" w:type="dxa"/>
        <w:tblLayout w:type="fixed"/>
        <w:tblLook w:val="0400" w:firstRow="0" w:lastRow="0" w:firstColumn="0" w:lastColumn="0" w:noHBand="0" w:noVBand="1"/>
      </w:tblPr>
      <w:tblGrid>
        <w:gridCol w:w="14983"/>
      </w:tblGrid>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91007F" w:rsidRDefault="00EE65C3">
            <w:pPr>
              <w:spacing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Metodología</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desarrollo del proyecto se dará a partir del enfoque crítico social teniendo en cuenta que el estudio no sea ni exclusivamente empírico ni únicamente interpretativo (Mateo, 2001) y el método etnográfico. Se despliega un </w:t>
            </w:r>
            <w:proofErr w:type="gramStart"/>
            <w:r>
              <w:rPr>
                <w:rFonts w:ascii="Times New Roman" w:eastAsia="Times New Roman" w:hAnsi="Times New Roman" w:cs="Times New Roman"/>
                <w:sz w:val="24"/>
                <w:szCs w:val="24"/>
              </w:rPr>
              <w:t>ejercicio  de</w:t>
            </w:r>
            <w:proofErr w:type="gramEnd"/>
            <w:r>
              <w:rPr>
                <w:rFonts w:ascii="Times New Roman" w:eastAsia="Times New Roman" w:hAnsi="Times New Roman" w:cs="Times New Roman"/>
                <w:sz w:val="24"/>
                <w:szCs w:val="24"/>
              </w:rPr>
              <w:t xml:space="preserve"> participación comunitaria   (eminentemente participativa)del Catatumbo, a través  del Comité de Integración Social del Catatumbo CISCA y  la Comisión de la verdad de Norte de Santander, vinculante con  las escuelas de la región. “pretende que las personas </w:t>
            </w:r>
            <w:proofErr w:type="gramStart"/>
            <w:r>
              <w:rPr>
                <w:rFonts w:ascii="Times New Roman" w:eastAsia="Times New Roman" w:hAnsi="Times New Roman" w:cs="Times New Roman"/>
                <w:sz w:val="24"/>
                <w:szCs w:val="24"/>
              </w:rPr>
              <w:t>implicadas  se</w:t>
            </w:r>
            <w:proofErr w:type="gramEnd"/>
            <w:r>
              <w:rPr>
                <w:rFonts w:ascii="Times New Roman" w:eastAsia="Times New Roman" w:hAnsi="Times New Roman" w:cs="Times New Roman"/>
                <w:sz w:val="24"/>
                <w:szCs w:val="24"/>
              </w:rPr>
              <w:t xml:space="preserve"> comprometan e impliquen en el proceso de investigación; propicia una dialéctica intersubjetiva con el fin de utilizarla para transformar la realidad social” (</w:t>
            </w:r>
            <w:proofErr w:type="spellStart"/>
            <w:r>
              <w:rPr>
                <w:rFonts w:ascii="Times New Roman" w:eastAsia="Times New Roman" w:hAnsi="Times New Roman" w:cs="Times New Roman"/>
                <w:sz w:val="24"/>
                <w:szCs w:val="24"/>
              </w:rPr>
              <w:t>Ortíz</w:t>
            </w:r>
            <w:proofErr w:type="spellEnd"/>
            <w:r>
              <w:rPr>
                <w:rFonts w:ascii="Times New Roman" w:eastAsia="Times New Roman" w:hAnsi="Times New Roman" w:cs="Times New Roman"/>
                <w:sz w:val="24"/>
                <w:szCs w:val="24"/>
              </w:rPr>
              <w:t xml:space="preserve">, 2015, pág. 20).  Así también, para la </w:t>
            </w:r>
            <w:proofErr w:type="gramStart"/>
            <w:r>
              <w:rPr>
                <w:rFonts w:ascii="Times New Roman" w:eastAsia="Times New Roman" w:hAnsi="Times New Roman" w:cs="Times New Roman"/>
                <w:sz w:val="24"/>
                <w:szCs w:val="24"/>
              </w:rPr>
              <w:t>contraposición  con</w:t>
            </w:r>
            <w:proofErr w:type="gramEnd"/>
            <w:r>
              <w:rPr>
                <w:rFonts w:ascii="Times New Roman" w:eastAsia="Times New Roman" w:hAnsi="Times New Roman" w:cs="Times New Roman"/>
                <w:sz w:val="24"/>
                <w:szCs w:val="24"/>
              </w:rPr>
              <w:t xml:space="preserve"> espacios suburbanos, se articulan los colegios de la Comuna 4 de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que trabajan con los Centros de Proyección Social de la Universidad Santo Tomás a través del programa Escuelas Protectoras, todo esto en interacción permanente con el grupo de investigadores. Todo el desarrollo del trabajo de campo se lleva a cabo a partir de los postulados de la Investigación, Acción, Participación (IAP), la educación popular, la etnografía </w:t>
            </w:r>
            <w:proofErr w:type="gramStart"/>
            <w:r>
              <w:rPr>
                <w:rFonts w:ascii="Times New Roman" w:eastAsia="Times New Roman" w:hAnsi="Times New Roman" w:cs="Times New Roman"/>
                <w:sz w:val="24"/>
                <w:szCs w:val="24"/>
              </w:rPr>
              <w:t>y  la</w:t>
            </w:r>
            <w:proofErr w:type="gramEnd"/>
            <w:r>
              <w:rPr>
                <w:rFonts w:ascii="Times New Roman" w:eastAsia="Times New Roman" w:hAnsi="Times New Roman" w:cs="Times New Roman"/>
                <w:sz w:val="24"/>
                <w:szCs w:val="24"/>
              </w:rPr>
              <w:t xml:space="preserve"> cartografía, acompañado por el registro audiovisual y construcción de elementos </w:t>
            </w:r>
            <w:proofErr w:type="spellStart"/>
            <w:r>
              <w:rPr>
                <w:rFonts w:ascii="Times New Roman" w:eastAsia="Times New Roman" w:hAnsi="Times New Roman" w:cs="Times New Roman"/>
                <w:sz w:val="24"/>
                <w:szCs w:val="24"/>
              </w:rPr>
              <w:t>transmedia</w:t>
            </w:r>
            <w:proofErr w:type="spellEnd"/>
            <w:r>
              <w:rPr>
                <w:rFonts w:ascii="Times New Roman" w:eastAsia="Times New Roman" w:hAnsi="Times New Roman" w:cs="Times New Roman"/>
                <w:sz w:val="24"/>
                <w:szCs w:val="24"/>
              </w:rPr>
              <w:t xml:space="preserve">, evidencia de la  investigación y procesos de </w:t>
            </w:r>
            <w:proofErr w:type="spellStart"/>
            <w:r>
              <w:rPr>
                <w:rFonts w:ascii="Times New Roman" w:eastAsia="Times New Roman" w:hAnsi="Times New Roman" w:cs="Times New Roman"/>
                <w:sz w:val="24"/>
                <w:szCs w:val="24"/>
              </w:rPr>
              <w:t>educomunicación</w:t>
            </w:r>
            <w:proofErr w:type="spellEnd"/>
            <w:r>
              <w:rPr>
                <w:rFonts w:ascii="Times New Roman" w:eastAsia="Times New Roman" w:hAnsi="Times New Roman" w:cs="Times New Roman"/>
                <w:sz w:val="24"/>
                <w:szCs w:val="24"/>
              </w:rPr>
              <w:t xml:space="preserve"> propuestos para y por las comunidades.</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Dentro del ejercicio desarrollado en el Catatumbo, se identificarán procesos de reconciliación y paz conjuntamente con el </w:t>
            </w:r>
            <w:proofErr w:type="gramStart"/>
            <w:r>
              <w:rPr>
                <w:rFonts w:ascii="Times New Roman" w:eastAsia="Times New Roman" w:hAnsi="Times New Roman" w:cs="Times New Roman"/>
                <w:sz w:val="24"/>
                <w:szCs w:val="24"/>
              </w:rPr>
              <w:t>CISCA,  la</w:t>
            </w:r>
            <w:proofErr w:type="gramEnd"/>
            <w:r>
              <w:rPr>
                <w:rFonts w:ascii="Times New Roman" w:eastAsia="Times New Roman" w:hAnsi="Times New Roman" w:cs="Times New Roman"/>
                <w:sz w:val="24"/>
                <w:szCs w:val="24"/>
              </w:rPr>
              <w:t xml:space="preserve"> Comisión de la Verdad de Norte de Santander, en alianza estratégica con la organización MINGA, así como con las escuelas de la región.  En Altos de </w:t>
            </w:r>
            <w:proofErr w:type="spellStart"/>
            <w:r>
              <w:rPr>
                <w:rFonts w:ascii="Times New Roman" w:eastAsia="Times New Roman" w:hAnsi="Times New Roman" w:cs="Times New Roman"/>
                <w:sz w:val="24"/>
                <w:szCs w:val="24"/>
              </w:rPr>
              <w:t>Cazucá</w:t>
            </w:r>
            <w:proofErr w:type="spellEnd"/>
            <w:r>
              <w:rPr>
                <w:rFonts w:ascii="Times New Roman" w:eastAsia="Times New Roman" w:hAnsi="Times New Roman" w:cs="Times New Roman"/>
                <w:sz w:val="24"/>
                <w:szCs w:val="24"/>
              </w:rPr>
              <w:t xml:space="preserve">, a través del programa “Escuelas Protectoras” y mediante dicha identificación, se diseñarán estrategias pedagógicas para el reconocimiento de la importancia de la verdad en marcos de construcción de paz, así como para el </w:t>
            </w:r>
            <w:proofErr w:type="spellStart"/>
            <w:r>
              <w:rPr>
                <w:rFonts w:ascii="Times New Roman" w:eastAsia="Times New Roman" w:hAnsi="Times New Roman" w:cs="Times New Roman"/>
                <w:sz w:val="24"/>
                <w:szCs w:val="24"/>
              </w:rPr>
              <w:t>fortalecimento</w:t>
            </w:r>
            <w:proofErr w:type="spellEnd"/>
            <w:r>
              <w:rPr>
                <w:rFonts w:ascii="Times New Roman" w:eastAsia="Times New Roman" w:hAnsi="Times New Roman" w:cs="Times New Roman"/>
                <w:sz w:val="24"/>
                <w:szCs w:val="24"/>
              </w:rPr>
              <w:t xml:space="preserve"> de las agendas de paz interculturales de los sectores en mención.  El alcance de los </w:t>
            </w:r>
            <w:proofErr w:type="gramStart"/>
            <w:r>
              <w:rPr>
                <w:rFonts w:ascii="Times New Roman" w:eastAsia="Times New Roman" w:hAnsi="Times New Roman" w:cs="Times New Roman"/>
                <w:sz w:val="24"/>
                <w:szCs w:val="24"/>
              </w:rPr>
              <w:t>objetivos  se</w:t>
            </w:r>
            <w:proofErr w:type="gramEnd"/>
            <w:r>
              <w:rPr>
                <w:rFonts w:ascii="Times New Roman" w:eastAsia="Times New Roman" w:hAnsi="Times New Roman" w:cs="Times New Roman"/>
                <w:sz w:val="24"/>
                <w:szCs w:val="24"/>
              </w:rPr>
              <w:t xml:space="preserve"> da a partir de los postulados de la Educación Popular (desde los aportes de Paulo Freire), la teoría social crítica (desde </w:t>
            </w:r>
            <w:proofErr w:type="spellStart"/>
            <w:r>
              <w:rPr>
                <w:rFonts w:ascii="Times New Roman" w:eastAsia="Times New Roman" w:hAnsi="Times New Roman" w:cs="Times New Roman"/>
                <w:sz w:val="24"/>
                <w:szCs w:val="24"/>
              </w:rPr>
              <w:t>Habermas</w:t>
            </w:r>
            <w:proofErr w:type="spellEnd"/>
            <w:r>
              <w:rPr>
                <w:rFonts w:ascii="Times New Roman" w:eastAsia="Times New Roman" w:hAnsi="Times New Roman" w:cs="Times New Roman"/>
                <w:sz w:val="24"/>
                <w:szCs w:val="24"/>
              </w:rPr>
              <w:t xml:space="preserve">)  y La Investigación, Acción, Participación (desde los aportes de Orlando </w:t>
            </w:r>
            <w:proofErr w:type="spellStart"/>
            <w:r>
              <w:rPr>
                <w:rFonts w:ascii="Times New Roman" w:eastAsia="Times New Roman" w:hAnsi="Times New Roman" w:cs="Times New Roman"/>
                <w:sz w:val="24"/>
                <w:szCs w:val="24"/>
              </w:rPr>
              <w:t>Fals</w:t>
            </w:r>
            <w:proofErr w:type="spellEnd"/>
            <w:r>
              <w:rPr>
                <w:rFonts w:ascii="Times New Roman" w:eastAsia="Times New Roman" w:hAnsi="Times New Roman" w:cs="Times New Roman"/>
                <w:sz w:val="24"/>
                <w:szCs w:val="24"/>
              </w:rPr>
              <w:t xml:space="preserve"> Borda) </w:t>
            </w:r>
          </w:p>
          <w:p w:rsidR="0091007F" w:rsidRDefault="00EE65C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Momentos o fases: revisión documental, proceso de observación participante, trabajo de campo y aplicación de talleres y herramientas, diseño de estrategias pedagógicas.   Técnicas: Diarios de campo y observación participante; grupos focales; entrevistas </w:t>
            </w:r>
            <w:proofErr w:type="spellStart"/>
            <w:r>
              <w:rPr>
                <w:rFonts w:ascii="Times New Roman" w:eastAsia="Times New Roman" w:hAnsi="Times New Roman" w:cs="Times New Roman"/>
                <w:sz w:val="24"/>
                <w:szCs w:val="24"/>
              </w:rPr>
              <w:t>semi</w:t>
            </w:r>
            <w:proofErr w:type="spellEnd"/>
            <w:r>
              <w:rPr>
                <w:rFonts w:ascii="Times New Roman" w:eastAsia="Times New Roman" w:hAnsi="Times New Roman" w:cs="Times New Roman"/>
                <w:sz w:val="24"/>
                <w:szCs w:val="24"/>
              </w:rPr>
              <w:t xml:space="preserve"> estructuradas; etnografía; cartografía; talleres pedagógicos; herramientas de sistematización; registro fotográfico y audiovisual con posterior elaboración </w:t>
            </w:r>
            <w:proofErr w:type="spellStart"/>
            <w:r>
              <w:rPr>
                <w:rFonts w:ascii="Times New Roman" w:eastAsia="Times New Roman" w:hAnsi="Times New Roman" w:cs="Times New Roman"/>
                <w:sz w:val="24"/>
                <w:szCs w:val="24"/>
              </w:rPr>
              <w:t>transmedia</w:t>
            </w:r>
            <w:proofErr w:type="spellEnd"/>
            <w:r>
              <w:rPr>
                <w:rFonts w:ascii="Times New Roman" w:eastAsia="Times New Roman" w:hAnsi="Times New Roman" w:cs="Times New Roman"/>
                <w:sz w:val="24"/>
                <w:szCs w:val="24"/>
              </w:rPr>
              <w:t xml:space="preserve">. </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91007F" w:rsidRDefault="00EE65C3">
            <w:pPr>
              <w:spacing w:before="280" w:line="24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lastRenderedPageBreak/>
              <w:t>Resultados esperados</w:t>
            </w:r>
          </w:p>
        </w:tc>
      </w:tr>
      <w:tr w:rsidR="0091007F">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91007F" w:rsidRDefault="00EE65C3">
            <w:pPr>
              <w:numPr>
                <w:ilvl w:val="0"/>
                <w:numId w:val="2"/>
              </w:numPr>
              <w:pBdr>
                <w:top w:val="nil"/>
                <w:left w:val="nil"/>
                <w:bottom w:val="nil"/>
                <w:right w:val="nil"/>
                <w:between w:val="nil"/>
              </w:pBdr>
              <w:spacing w:after="1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Producción de nuevo conocimiento: </w:t>
            </w:r>
            <w:r>
              <w:rPr>
                <w:rFonts w:ascii="Times New Roman" w:eastAsia="Times New Roman" w:hAnsi="Times New Roman" w:cs="Times New Roman"/>
                <w:sz w:val="24"/>
                <w:szCs w:val="24"/>
              </w:rPr>
              <w:t>Artículo Q3; Galería, instalación: “Verdad y Memoria”</w:t>
            </w:r>
          </w:p>
          <w:p w:rsidR="0091007F" w:rsidRDefault="00EE65C3">
            <w:pPr>
              <w:numPr>
                <w:ilvl w:val="0"/>
                <w:numId w:val="2"/>
              </w:numPr>
              <w:pBdr>
                <w:top w:val="nil"/>
                <w:left w:val="nil"/>
                <w:bottom w:val="nil"/>
                <w:right w:val="nil"/>
                <w:between w:val="nil"/>
              </w:pBd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Apropiación Social del Conocimiento: Espacio de formación CTI: Propuesta pedagógica estrategias </w:t>
            </w:r>
            <w:proofErr w:type="spellStart"/>
            <w:r>
              <w:rPr>
                <w:rFonts w:ascii="Times New Roman" w:eastAsia="Times New Roman" w:hAnsi="Times New Roman" w:cs="Times New Roman"/>
                <w:sz w:val="24"/>
                <w:szCs w:val="24"/>
              </w:rPr>
              <w:t>educomunicativas</w:t>
            </w:r>
            <w:proofErr w:type="spellEnd"/>
            <w:r>
              <w:rPr>
                <w:rFonts w:ascii="Times New Roman" w:eastAsia="Times New Roman" w:hAnsi="Times New Roman" w:cs="Times New Roman"/>
                <w:color w:val="000000"/>
                <w:sz w:val="24"/>
                <w:szCs w:val="24"/>
              </w:rPr>
              <w:t xml:space="preserve"> para los marcos </w:t>
            </w:r>
            <w:proofErr w:type="gramStart"/>
            <w:r>
              <w:rPr>
                <w:rFonts w:ascii="Times New Roman" w:eastAsia="Times New Roman" w:hAnsi="Times New Roman" w:cs="Times New Roman"/>
                <w:color w:val="000000"/>
                <w:sz w:val="24"/>
                <w:szCs w:val="24"/>
              </w:rPr>
              <w:t>de  cátedras</w:t>
            </w:r>
            <w:proofErr w:type="gramEnd"/>
            <w:r>
              <w:rPr>
                <w:rFonts w:ascii="Times New Roman" w:eastAsia="Times New Roman" w:hAnsi="Times New Roman" w:cs="Times New Roman"/>
                <w:color w:val="000000"/>
                <w:sz w:val="24"/>
                <w:szCs w:val="24"/>
              </w:rPr>
              <w:t xml:space="preserve"> de la paz</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Producto </w:t>
            </w:r>
            <w:proofErr w:type="spellStart"/>
            <w:r>
              <w:rPr>
                <w:rFonts w:ascii="Times New Roman" w:eastAsia="Times New Roman" w:hAnsi="Times New Roman" w:cs="Times New Roman"/>
                <w:color w:val="000000"/>
                <w:sz w:val="24"/>
                <w:szCs w:val="24"/>
              </w:rPr>
              <w:t>transmedia</w:t>
            </w:r>
            <w:proofErr w:type="spellEnd"/>
            <w:r>
              <w:rPr>
                <w:rFonts w:ascii="Times New Roman" w:eastAsia="Times New Roman" w:hAnsi="Times New Roman" w:cs="Times New Roman"/>
                <w:color w:val="000000"/>
                <w:sz w:val="24"/>
                <w:szCs w:val="24"/>
              </w:rPr>
              <w:t>: vídeo, imagen fija (fotografía), texto, infografías, cortometraje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Página Web</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 Ponencia en evento nacional</w:t>
            </w:r>
            <w:r>
              <w:rPr>
                <w:rFonts w:ascii="Times New Roman" w:eastAsia="Times New Roman" w:hAnsi="Times New Roman" w:cs="Times New Roman"/>
                <w:sz w:val="24"/>
                <w:szCs w:val="24"/>
              </w:rPr>
              <w:t>; I</w:t>
            </w:r>
            <w:r>
              <w:rPr>
                <w:rFonts w:ascii="Times New Roman" w:eastAsia="Times New Roman" w:hAnsi="Times New Roman" w:cs="Times New Roman"/>
                <w:color w:val="000000"/>
                <w:sz w:val="24"/>
                <w:szCs w:val="24"/>
              </w:rPr>
              <w:t>nforme de investigación.</w:t>
            </w:r>
          </w:p>
          <w:p w:rsidR="0091007F" w:rsidRDefault="00EE65C3">
            <w:pPr>
              <w:numPr>
                <w:ilvl w:val="0"/>
                <w:numId w:val="2"/>
              </w:numPr>
              <w:pBdr>
                <w:top w:val="nil"/>
                <w:left w:val="nil"/>
                <w:bottom w:val="nil"/>
                <w:right w:val="nil"/>
                <w:between w:val="nil"/>
              </w:pBdr>
              <w:spacing w:after="10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Formación de Talento Humano: Formación de capacidades: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Semillero </w:t>
            </w:r>
            <w:proofErr w:type="spellStart"/>
            <w:proofErr w:type="gramStart"/>
            <w:r>
              <w:rPr>
                <w:rFonts w:ascii="Times New Roman" w:eastAsia="Times New Roman" w:hAnsi="Times New Roman" w:cs="Times New Roman"/>
                <w:color w:val="000000"/>
                <w:sz w:val="24"/>
                <w:szCs w:val="24"/>
              </w:rPr>
              <w:t>Isegoría</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Grupo</w:t>
            </w:r>
            <w:proofErr w:type="gramEnd"/>
            <w:r>
              <w:rPr>
                <w:rFonts w:ascii="Times New Roman" w:eastAsia="Times New Roman" w:hAnsi="Times New Roman" w:cs="Times New Roman"/>
                <w:sz w:val="24"/>
                <w:szCs w:val="24"/>
              </w:rPr>
              <w:t xml:space="preserve"> de estudio. </w:t>
            </w:r>
            <w:r>
              <w:rPr>
                <w:rFonts w:ascii="Times New Roman" w:eastAsia="Times New Roman" w:hAnsi="Times New Roman" w:cs="Times New Roman"/>
                <w:color w:val="000000"/>
                <w:sz w:val="24"/>
                <w:szCs w:val="24"/>
              </w:rPr>
              <w:t>Trabajo de grado en pre grado</w:t>
            </w:r>
          </w:p>
        </w:tc>
      </w:tr>
    </w:tbl>
    <w:p w:rsidR="0091007F" w:rsidRDefault="0091007F">
      <w:pPr>
        <w:spacing w:after="0" w:line="240" w:lineRule="auto"/>
        <w:rPr>
          <w:rFonts w:ascii="Times New Roman" w:eastAsia="Times New Roman" w:hAnsi="Times New Roman" w:cs="Times New Roman"/>
          <w:b/>
          <w:sz w:val="24"/>
          <w:szCs w:val="24"/>
        </w:rPr>
      </w:pPr>
    </w:p>
    <w:tbl>
      <w:tblPr>
        <w:tblStyle w:val="a9"/>
        <w:tblW w:w="146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6"/>
      </w:tblGrid>
      <w:tr w:rsidR="0091007F">
        <w:tc>
          <w:tcPr>
            <w:tcW w:w="14696" w:type="dxa"/>
            <w:shd w:val="clear" w:color="auto" w:fill="D0CECE"/>
          </w:tcPr>
          <w:p w:rsidR="0091007F" w:rsidRDefault="00EE65C3">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Presupuesto </w:t>
            </w:r>
          </w:p>
        </w:tc>
      </w:tr>
      <w:tr w:rsidR="0091007F">
        <w:tc>
          <w:tcPr>
            <w:tcW w:w="14696" w:type="dxa"/>
          </w:tcPr>
          <w:p w:rsidR="0091007F" w:rsidRDefault="00EE65C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 encuentra en documento Anexo</w:t>
            </w:r>
          </w:p>
        </w:tc>
      </w:tr>
      <w:tr w:rsidR="0091007F">
        <w:tc>
          <w:tcPr>
            <w:tcW w:w="14696" w:type="dxa"/>
            <w:shd w:val="clear" w:color="auto" w:fill="D0CECE"/>
          </w:tcPr>
          <w:p w:rsidR="0091007F" w:rsidRDefault="00EE65C3">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Cronograma</w:t>
            </w:r>
          </w:p>
        </w:tc>
      </w:tr>
      <w:tr w:rsidR="0091007F">
        <w:tc>
          <w:tcPr>
            <w:tcW w:w="14696" w:type="dxa"/>
          </w:tcPr>
          <w:p w:rsidR="0091007F" w:rsidRDefault="00EE65C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 encuentra en documento anexo</w:t>
            </w:r>
          </w:p>
        </w:tc>
      </w:tr>
      <w:tr w:rsidR="0091007F">
        <w:tc>
          <w:tcPr>
            <w:tcW w:w="14696" w:type="dxa"/>
            <w:shd w:val="clear" w:color="auto" w:fill="D0CECE"/>
          </w:tcPr>
          <w:p w:rsidR="0091007F" w:rsidRDefault="00EE65C3">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t>Referencias Bibliográficas</w:t>
            </w:r>
          </w:p>
        </w:tc>
      </w:tr>
      <w:tr w:rsidR="0091007F">
        <w:tc>
          <w:tcPr>
            <w:tcW w:w="14696" w:type="dxa"/>
          </w:tcPr>
          <w:p w:rsidR="0091007F" w:rsidRDefault="00EE65C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 encuentran en documento anexo</w:t>
            </w:r>
          </w:p>
        </w:tc>
      </w:tr>
    </w:tbl>
    <w:p w:rsidR="0091007F" w:rsidRDefault="0091007F">
      <w:pPr>
        <w:spacing w:after="0" w:line="240" w:lineRule="auto"/>
        <w:rPr>
          <w:rFonts w:ascii="Times New Roman" w:eastAsia="Times New Roman" w:hAnsi="Times New Roman" w:cs="Times New Roman"/>
          <w:b/>
          <w:sz w:val="32"/>
          <w:szCs w:val="32"/>
        </w:rPr>
      </w:pPr>
    </w:p>
    <w:tbl>
      <w:tblPr>
        <w:tblStyle w:val="aa"/>
        <w:tblW w:w="768" w:type="dxa"/>
        <w:tblInd w:w="8" w:type="dxa"/>
        <w:tblLayout w:type="fixed"/>
        <w:tblLook w:val="0400" w:firstRow="0" w:lastRow="0" w:firstColumn="0" w:lastColumn="0" w:noHBand="0" w:noVBand="1"/>
      </w:tblPr>
      <w:tblGrid>
        <w:gridCol w:w="768"/>
      </w:tblGrid>
      <w:tr w:rsidR="0091007F">
        <w:tc>
          <w:tcPr>
            <w:tcW w:w="768" w:type="dxa"/>
            <w:shd w:val="clear" w:color="auto" w:fill="FFFFFF"/>
            <w:tcMar>
              <w:top w:w="15" w:type="dxa"/>
              <w:left w:w="15" w:type="dxa"/>
              <w:bottom w:w="15" w:type="dxa"/>
              <w:right w:w="15" w:type="dxa"/>
            </w:tcMar>
            <w:vAlign w:val="center"/>
          </w:tcPr>
          <w:p w:rsidR="0091007F" w:rsidRDefault="0091007F">
            <w:pPr>
              <w:spacing w:after="0"/>
              <w:rPr>
                <w:rFonts w:ascii="Times New Roman" w:eastAsia="Times New Roman" w:hAnsi="Times New Roman" w:cs="Times New Roman"/>
                <w:sz w:val="24"/>
                <w:szCs w:val="24"/>
              </w:rPr>
            </w:pPr>
          </w:p>
        </w:tc>
      </w:tr>
    </w:tbl>
    <w:p w:rsidR="0091007F" w:rsidRDefault="0091007F">
      <w:pPr>
        <w:rPr>
          <w:rFonts w:ascii="Times New Roman" w:eastAsia="Times New Roman" w:hAnsi="Times New Roman" w:cs="Times New Roman"/>
          <w:b/>
          <w:sz w:val="24"/>
          <w:szCs w:val="24"/>
        </w:rPr>
      </w:pPr>
    </w:p>
    <w:sectPr w:rsidR="0091007F">
      <w:headerReference w:type="even" r:id="rId17"/>
      <w:headerReference w:type="default" r:id="rId18"/>
      <w:footerReference w:type="default" r:id="rId19"/>
      <w:headerReference w:type="first" r:id="rId20"/>
      <w:footerReference w:type="first" r:id="rId21"/>
      <w:pgSz w:w="15840" w:h="12240"/>
      <w:pgMar w:top="567" w:right="567" w:bottom="567" w:left="567"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0AD" w:rsidRDefault="00EE65C3">
      <w:pPr>
        <w:spacing w:after="0" w:line="240" w:lineRule="auto"/>
      </w:pPr>
      <w:r>
        <w:separator/>
      </w:r>
    </w:p>
  </w:endnote>
  <w:endnote w:type="continuationSeparator" w:id="0">
    <w:p w:rsidR="00D520AD" w:rsidRDefault="00EE6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Helvetica Neue">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07F" w:rsidRDefault="00EE65C3">
    <w:pPr>
      <w:pBdr>
        <w:top w:val="nil"/>
        <w:left w:val="nil"/>
        <w:bottom w:val="nil"/>
        <w:right w:val="nil"/>
        <w:between w:val="nil"/>
      </w:pBdr>
      <w:tabs>
        <w:tab w:val="center" w:pos="4419"/>
        <w:tab w:val="right" w:pos="8838"/>
      </w:tabs>
      <w:spacing w:after="0" w:line="240" w:lineRule="auto"/>
      <w:rPr>
        <w:color w:val="000000"/>
      </w:rPr>
    </w:pPr>
    <w:r>
      <w:rPr>
        <w:noProof/>
        <w:lang w:val="en-US" w:eastAsia="en-US"/>
      </w:rPr>
      <w:drawing>
        <wp:anchor distT="0" distB="0" distL="114300" distR="114300" simplePos="0" relativeHeight="251660288" behindDoc="0" locked="0" layoutInCell="1" hidden="0" allowOverlap="1">
          <wp:simplePos x="0" y="0"/>
          <wp:positionH relativeFrom="column">
            <wp:posOffset>2107981</wp:posOffset>
          </wp:positionH>
          <wp:positionV relativeFrom="paragraph">
            <wp:posOffset>-222709</wp:posOffset>
          </wp:positionV>
          <wp:extent cx="5748834" cy="761478"/>
          <wp:effectExtent l="0" t="0" r="0" b="0"/>
          <wp:wrapNone/>
          <wp:docPr id="61" name="image1.jpg" descr="Comunicaciones:Comunicaciones USTA:3.Comunicaciones Institucionales:1. Comunicacion Interna:2018:Solicitudes:ST548-2018 Hoja Membrete Actualizada:Pieza:ST548–2018 Membrete 23 octubre-01.jpg"/>
          <wp:cNvGraphicFramePr/>
          <a:graphic xmlns:a="http://schemas.openxmlformats.org/drawingml/2006/main">
            <a:graphicData uri="http://schemas.openxmlformats.org/drawingml/2006/picture">
              <pic:pic xmlns:pic="http://schemas.openxmlformats.org/drawingml/2006/picture">
                <pic:nvPicPr>
                  <pic:cNvPr id="0" name="image1.jpg" descr="Comunicaciones:Comunicaciones USTA:3.Comunicaciones Institucionales:1. Comunicacion Interna:2018:Solicitudes:ST548-2018 Hoja Membrete Actualizada:Pieza:ST548–2018 Membrete 23 octubre-01.jpg"/>
                  <pic:cNvPicPr preferRelativeResize="0"/>
                </pic:nvPicPr>
                <pic:blipFill>
                  <a:blip r:embed="rId1"/>
                  <a:srcRect/>
                  <a:stretch>
                    <a:fillRect/>
                  </a:stretch>
                </pic:blipFill>
                <pic:spPr>
                  <a:xfrm>
                    <a:off x="0" y="0"/>
                    <a:ext cx="5748834" cy="761478"/>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07F" w:rsidRDefault="00EE65C3">
    <w:pPr>
      <w:pBdr>
        <w:top w:val="nil"/>
        <w:left w:val="nil"/>
        <w:bottom w:val="nil"/>
        <w:right w:val="nil"/>
        <w:between w:val="nil"/>
      </w:pBdr>
      <w:tabs>
        <w:tab w:val="center" w:pos="4419"/>
        <w:tab w:val="right" w:pos="8838"/>
      </w:tabs>
      <w:spacing w:after="0" w:line="240" w:lineRule="auto"/>
      <w:rPr>
        <w:color w:val="000000"/>
      </w:rPr>
    </w:pPr>
    <w:r>
      <w:rPr>
        <w:noProof/>
        <w:lang w:val="en-US" w:eastAsia="en-US"/>
      </w:rPr>
      <w:drawing>
        <wp:anchor distT="0" distB="0" distL="114300" distR="114300" simplePos="0" relativeHeight="251661312" behindDoc="0" locked="0" layoutInCell="1" hidden="0" allowOverlap="1">
          <wp:simplePos x="0" y="0"/>
          <wp:positionH relativeFrom="column">
            <wp:posOffset>2040254</wp:posOffset>
          </wp:positionH>
          <wp:positionV relativeFrom="paragraph">
            <wp:posOffset>-216533</wp:posOffset>
          </wp:positionV>
          <wp:extent cx="5748834" cy="761478"/>
          <wp:effectExtent l="0" t="0" r="0" b="0"/>
          <wp:wrapNone/>
          <wp:docPr id="59" name="image1.jpg" descr="Comunicaciones:Comunicaciones USTA:3.Comunicaciones Institucionales:1. Comunicacion Interna:2018:Solicitudes:ST548-2018 Hoja Membrete Actualizada:Pieza:ST548–2018 Membrete 23 octubre-01.jpg"/>
          <wp:cNvGraphicFramePr/>
          <a:graphic xmlns:a="http://schemas.openxmlformats.org/drawingml/2006/main">
            <a:graphicData uri="http://schemas.openxmlformats.org/drawingml/2006/picture">
              <pic:pic xmlns:pic="http://schemas.openxmlformats.org/drawingml/2006/picture">
                <pic:nvPicPr>
                  <pic:cNvPr id="0" name="image1.jpg" descr="Comunicaciones:Comunicaciones USTA:3.Comunicaciones Institucionales:1. Comunicacion Interna:2018:Solicitudes:ST548-2018 Hoja Membrete Actualizada:Pieza:ST548–2018 Membrete 23 octubre-01.jpg"/>
                  <pic:cNvPicPr preferRelativeResize="0"/>
                </pic:nvPicPr>
                <pic:blipFill>
                  <a:blip r:embed="rId1"/>
                  <a:srcRect/>
                  <a:stretch>
                    <a:fillRect/>
                  </a:stretch>
                </pic:blipFill>
                <pic:spPr>
                  <a:xfrm>
                    <a:off x="0" y="0"/>
                    <a:ext cx="5748834" cy="76147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0AD" w:rsidRDefault="00EE65C3">
      <w:pPr>
        <w:spacing w:after="0" w:line="240" w:lineRule="auto"/>
      </w:pPr>
      <w:r>
        <w:separator/>
      </w:r>
    </w:p>
  </w:footnote>
  <w:footnote w:type="continuationSeparator" w:id="0">
    <w:p w:rsidR="00D520AD" w:rsidRDefault="00EE6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07F" w:rsidRDefault="0091007F">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07F" w:rsidRDefault="00EE65C3">
    <w:pPr>
      <w:pBdr>
        <w:top w:val="nil"/>
        <w:left w:val="nil"/>
        <w:bottom w:val="nil"/>
        <w:right w:val="nil"/>
        <w:between w:val="nil"/>
      </w:pBdr>
      <w:tabs>
        <w:tab w:val="center" w:pos="4419"/>
        <w:tab w:val="right" w:pos="8838"/>
      </w:tabs>
      <w:spacing w:after="0" w:line="240" w:lineRule="auto"/>
      <w:jc w:val="right"/>
      <w:rPr>
        <w:color w:val="000000"/>
        <w:sz w:val="14"/>
        <w:szCs w:val="14"/>
      </w:rPr>
    </w:pPr>
    <w:r>
      <w:rPr>
        <w:noProof/>
        <w:lang w:val="en-US" w:eastAsia="en-US"/>
      </w:rPr>
      <w:drawing>
        <wp:anchor distT="0" distB="0" distL="114300" distR="114300" simplePos="0" relativeHeight="251658240" behindDoc="0" locked="0" layoutInCell="1" hidden="0" allowOverlap="1">
          <wp:simplePos x="0" y="0"/>
          <wp:positionH relativeFrom="column">
            <wp:posOffset>1860331</wp:posOffset>
          </wp:positionH>
          <wp:positionV relativeFrom="paragraph">
            <wp:posOffset>-456389</wp:posOffset>
          </wp:positionV>
          <wp:extent cx="5908040" cy="917196"/>
          <wp:effectExtent l="0" t="0" r="0" b="0"/>
          <wp:wrapNone/>
          <wp:docPr id="60" name="image2.png" descr="Macintosh HD:Users:angelicafernandasierrapolanco:Desktop:membrete4oct-02.png"/>
          <wp:cNvGraphicFramePr/>
          <a:graphic xmlns:a="http://schemas.openxmlformats.org/drawingml/2006/main">
            <a:graphicData uri="http://schemas.openxmlformats.org/drawingml/2006/picture">
              <pic:pic xmlns:pic="http://schemas.openxmlformats.org/drawingml/2006/picture">
                <pic:nvPicPr>
                  <pic:cNvPr id="0" name="image2.png" descr="Macintosh HD:Users:angelicafernandasierrapolanco:Desktop:membrete4oct-02.png"/>
                  <pic:cNvPicPr preferRelativeResize="0"/>
                </pic:nvPicPr>
                <pic:blipFill>
                  <a:blip r:embed="rId1"/>
                  <a:srcRect/>
                  <a:stretch>
                    <a:fillRect/>
                  </a:stretch>
                </pic:blipFill>
                <pic:spPr>
                  <a:xfrm>
                    <a:off x="0" y="0"/>
                    <a:ext cx="5908040" cy="917196"/>
                  </a:xfrm>
                  <a:prstGeom prst="rect">
                    <a:avLst/>
                  </a:prstGeom>
                  <a:ln/>
                </pic:spPr>
              </pic:pic>
            </a:graphicData>
          </a:graphic>
        </wp:anchor>
      </w:drawing>
    </w:r>
  </w:p>
  <w:p w:rsidR="0091007F" w:rsidRDefault="0091007F">
    <w:pPr>
      <w:pBdr>
        <w:top w:val="nil"/>
        <w:left w:val="nil"/>
        <w:bottom w:val="nil"/>
        <w:right w:val="nil"/>
        <w:between w:val="nil"/>
      </w:pBdr>
      <w:tabs>
        <w:tab w:val="center" w:pos="4419"/>
        <w:tab w:val="right" w:pos="8838"/>
      </w:tabs>
      <w:spacing w:after="0" w:line="240" w:lineRule="auto"/>
      <w:jc w:val="right"/>
      <w:rPr>
        <w:color w:val="000000"/>
        <w:sz w:val="14"/>
        <w:szCs w:val="14"/>
      </w:rPr>
    </w:pPr>
  </w:p>
  <w:p w:rsidR="0091007F" w:rsidRDefault="00EE65C3">
    <w:pPr>
      <w:pBdr>
        <w:top w:val="nil"/>
        <w:left w:val="nil"/>
        <w:bottom w:val="nil"/>
        <w:right w:val="nil"/>
        <w:between w:val="nil"/>
      </w:pBdr>
      <w:tabs>
        <w:tab w:val="center" w:pos="4419"/>
        <w:tab w:val="right" w:pos="8838"/>
      </w:tabs>
      <w:spacing w:after="0" w:line="240" w:lineRule="auto"/>
      <w:jc w:val="right"/>
      <w:rPr>
        <w:color w:val="000000"/>
        <w:sz w:val="14"/>
        <w:szCs w:val="14"/>
      </w:rPr>
    </w:pPr>
    <w:r>
      <w:rPr>
        <w:color w:val="000000"/>
        <w:sz w:val="14"/>
        <w:szCs w:val="14"/>
      </w:rPr>
      <w:t xml:space="preserve">Página </w:t>
    </w:r>
    <w:r>
      <w:rPr>
        <w:b/>
        <w:color w:val="000000"/>
        <w:sz w:val="14"/>
        <w:szCs w:val="14"/>
      </w:rPr>
      <w:fldChar w:fldCharType="begin"/>
    </w:r>
    <w:r>
      <w:rPr>
        <w:b/>
        <w:color w:val="000000"/>
        <w:sz w:val="14"/>
        <w:szCs w:val="14"/>
      </w:rPr>
      <w:instrText>PAGE</w:instrText>
    </w:r>
    <w:r>
      <w:rPr>
        <w:b/>
        <w:color w:val="000000"/>
        <w:sz w:val="14"/>
        <w:szCs w:val="14"/>
      </w:rPr>
      <w:fldChar w:fldCharType="separate"/>
    </w:r>
    <w:r w:rsidR="00850D47">
      <w:rPr>
        <w:b/>
        <w:noProof/>
        <w:color w:val="000000"/>
        <w:sz w:val="14"/>
        <w:szCs w:val="14"/>
      </w:rPr>
      <w:t>12</w:t>
    </w:r>
    <w:r>
      <w:rPr>
        <w:b/>
        <w:color w:val="000000"/>
        <w:sz w:val="14"/>
        <w:szCs w:val="14"/>
      </w:rPr>
      <w:fldChar w:fldCharType="end"/>
    </w:r>
    <w:r>
      <w:rPr>
        <w:color w:val="000000"/>
        <w:sz w:val="14"/>
        <w:szCs w:val="14"/>
      </w:rPr>
      <w:t xml:space="preserve"> de </w:t>
    </w:r>
    <w:r>
      <w:rPr>
        <w:b/>
        <w:color w:val="000000"/>
        <w:sz w:val="14"/>
        <w:szCs w:val="14"/>
      </w:rPr>
      <w:fldChar w:fldCharType="begin"/>
    </w:r>
    <w:r>
      <w:rPr>
        <w:b/>
        <w:color w:val="000000"/>
        <w:sz w:val="14"/>
        <w:szCs w:val="14"/>
      </w:rPr>
      <w:instrText>NUMPAGES</w:instrText>
    </w:r>
    <w:r>
      <w:rPr>
        <w:b/>
        <w:color w:val="000000"/>
        <w:sz w:val="14"/>
        <w:szCs w:val="14"/>
      </w:rPr>
      <w:fldChar w:fldCharType="separate"/>
    </w:r>
    <w:r w:rsidR="00850D47">
      <w:rPr>
        <w:b/>
        <w:noProof/>
        <w:color w:val="000000"/>
        <w:sz w:val="14"/>
        <w:szCs w:val="14"/>
      </w:rPr>
      <w:t>12</w:t>
    </w:r>
    <w:r>
      <w:rPr>
        <w:b/>
        <w:color w:val="000000"/>
        <w:sz w:val="14"/>
        <w:szCs w:val="14"/>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07F" w:rsidRDefault="00EE65C3">
    <w:pPr>
      <w:spacing w:after="0" w:line="240" w:lineRule="auto"/>
      <w:jc w:val="center"/>
    </w:pPr>
    <w:r>
      <w:rPr>
        <w:noProof/>
        <w:lang w:val="en-US" w:eastAsia="en-US"/>
      </w:rPr>
      <w:drawing>
        <wp:anchor distT="0" distB="0" distL="114300" distR="114300" simplePos="0" relativeHeight="251659264" behindDoc="0" locked="0" layoutInCell="1" hidden="0" allowOverlap="1">
          <wp:simplePos x="0" y="0"/>
          <wp:positionH relativeFrom="column">
            <wp:posOffset>1792604</wp:posOffset>
          </wp:positionH>
          <wp:positionV relativeFrom="paragraph">
            <wp:posOffset>-450214</wp:posOffset>
          </wp:positionV>
          <wp:extent cx="5908040" cy="917196"/>
          <wp:effectExtent l="0" t="0" r="0" b="0"/>
          <wp:wrapNone/>
          <wp:docPr id="58" name="image2.png" descr="Macintosh HD:Users:angelicafernandasierrapolanco:Desktop:membrete4oct-02.png"/>
          <wp:cNvGraphicFramePr/>
          <a:graphic xmlns:a="http://schemas.openxmlformats.org/drawingml/2006/main">
            <a:graphicData uri="http://schemas.openxmlformats.org/drawingml/2006/picture">
              <pic:pic xmlns:pic="http://schemas.openxmlformats.org/drawingml/2006/picture">
                <pic:nvPicPr>
                  <pic:cNvPr id="0" name="image2.png" descr="Macintosh HD:Users:angelicafernandasierrapolanco:Desktop:membrete4oct-02.png"/>
                  <pic:cNvPicPr preferRelativeResize="0"/>
                </pic:nvPicPr>
                <pic:blipFill>
                  <a:blip r:embed="rId1"/>
                  <a:srcRect/>
                  <a:stretch>
                    <a:fillRect/>
                  </a:stretch>
                </pic:blipFill>
                <pic:spPr>
                  <a:xfrm>
                    <a:off x="0" y="0"/>
                    <a:ext cx="5908040" cy="917196"/>
                  </a:xfrm>
                  <a:prstGeom prst="rect">
                    <a:avLst/>
                  </a:prstGeom>
                  <a:ln/>
                </pic:spPr>
              </pic:pic>
            </a:graphicData>
          </a:graphic>
        </wp:anchor>
      </w:drawing>
    </w:r>
  </w:p>
  <w:p w:rsidR="0091007F" w:rsidRDefault="00EE65C3">
    <w:pPr>
      <w:pBdr>
        <w:top w:val="nil"/>
        <w:left w:val="nil"/>
        <w:bottom w:val="nil"/>
        <w:right w:val="nil"/>
        <w:between w:val="nil"/>
      </w:pBdr>
      <w:tabs>
        <w:tab w:val="center" w:pos="4419"/>
        <w:tab w:val="right" w:pos="8838"/>
      </w:tabs>
      <w:spacing w:after="0" w:line="240" w:lineRule="auto"/>
      <w:jc w:val="right"/>
      <w:rPr>
        <w:b/>
        <w:color w:val="000000"/>
      </w:rPr>
    </w:pPr>
    <w:r>
      <w:rPr>
        <w:color w:val="000000"/>
        <w:sz w:val="14"/>
        <w:szCs w:val="14"/>
      </w:rPr>
      <w:t xml:space="preserve">Página </w:t>
    </w:r>
    <w:r>
      <w:rPr>
        <w:b/>
        <w:color w:val="000000"/>
        <w:sz w:val="14"/>
        <w:szCs w:val="14"/>
      </w:rPr>
      <w:fldChar w:fldCharType="begin"/>
    </w:r>
    <w:r>
      <w:rPr>
        <w:b/>
        <w:color w:val="000000"/>
        <w:sz w:val="14"/>
        <w:szCs w:val="14"/>
      </w:rPr>
      <w:instrText>PAGE</w:instrText>
    </w:r>
    <w:r>
      <w:rPr>
        <w:b/>
        <w:color w:val="000000"/>
        <w:sz w:val="14"/>
        <w:szCs w:val="14"/>
      </w:rPr>
      <w:fldChar w:fldCharType="separate"/>
    </w:r>
    <w:r w:rsidR="00850D47">
      <w:rPr>
        <w:b/>
        <w:noProof/>
        <w:color w:val="000000"/>
        <w:sz w:val="14"/>
        <w:szCs w:val="14"/>
      </w:rPr>
      <w:t>1</w:t>
    </w:r>
    <w:r>
      <w:rPr>
        <w:b/>
        <w:color w:val="000000"/>
        <w:sz w:val="14"/>
        <w:szCs w:val="14"/>
      </w:rPr>
      <w:fldChar w:fldCharType="end"/>
    </w:r>
    <w:r>
      <w:rPr>
        <w:color w:val="000000"/>
        <w:sz w:val="14"/>
        <w:szCs w:val="14"/>
      </w:rPr>
      <w:t xml:space="preserve"> de </w:t>
    </w:r>
    <w:r>
      <w:rPr>
        <w:b/>
        <w:color w:val="000000"/>
        <w:sz w:val="14"/>
        <w:szCs w:val="14"/>
      </w:rPr>
      <w:fldChar w:fldCharType="begin"/>
    </w:r>
    <w:r>
      <w:rPr>
        <w:b/>
        <w:color w:val="000000"/>
        <w:sz w:val="14"/>
        <w:szCs w:val="14"/>
      </w:rPr>
      <w:instrText>NUMPAGES</w:instrText>
    </w:r>
    <w:r>
      <w:rPr>
        <w:b/>
        <w:color w:val="000000"/>
        <w:sz w:val="14"/>
        <w:szCs w:val="14"/>
      </w:rPr>
      <w:fldChar w:fldCharType="separate"/>
    </w:r>
    <w:r w:rsidR="00850D47">
      <w:rPr>
        <w:b/>
        <w:noProof/>
        <w:color w:val="000000"/>
        <w:sz w:val="14"/>
        <w:szCs w:val="14"/>
      </w:rPr>
      <w:t>12</w:t>
    </w:r>
    <w:r>
      <w:rPr>
        <w:b/>
        <w:color w:val="000000"/>
        <w:sz w:val="14"/>
        <w:szCs w:val="14"/>
      </w:rPr>
      <w:fldChar w:fldCharType="end"/>
    </w:r>
  </w:p>
  <w:p w:rsidR="0091007F" w:rsidRDefault="0091007F">
    <w:pPr>
      <w:pBdr>
        <w:top w:val="nil"/>
        <w:left w:val="nil"/>
        <w:bottom w:val="nil"/>
        <w:right w:val="nil"/>
        <w:between w:val="nil"/>
      </w:pBdr>
      <w:tabs>
        <w:tab w:val="center" w:pos="4419"/>
        <w:tab w:val="right" w:pos="8838"/>
      </w:tabs>
      <w:spacing w:after="0" w:line="240" w:lineRule="auto"/>
      <w:jc w:val="right"/>
      <w:rPr>
        <w:color w:val="000000"/>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E76FA"/>
    <w:multiLevelType w:val="multilevel"/>
    <w:tmpl w:val="4484F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7D2CCF"/>
    <w:multiLevelType w:val="multilevel"/>
    <w:tmpl w:val="8504788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95A14A6"/>
    <w:multiLevelType w:val="multilevel"/>
    <w:tmpl w:val="A304745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A7D5FFF"/>
    <w:multiLevelType w:val="multilevel"/>
    <w:tmpl w:val="1E18CCE0"/>
    <w:lvl w:ilvl="0">
      <w:start w:val="1"/>
      <w:numFmt w:val="decimal"/>
      <w:lvlText w:val="%1."/>
      <w:lvlJc w:val="left"/>
      <w:pPr>
        <w:ind w:left="720" w:hanging="360"/>
      </w:pPr>
      <w:rPr>
        <w:rFonts w:ascii="Helvetica Neue" w:eastAsia="Helvetica Neue" w:hAnsi="Helvetica Neue" w:cs="Helvetica Neue"/>
        <w:color w:val="222222"/>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07F"/>
    <w:rsid w:val="001D5DF5"/>
    <w:rsid w:val="00782A7F"/>
    <w:rsid w:val="00850D47"/>
    <w:rsid w:val="0091007F"/>
    <w:rsid w:val="00D520AD"/>
    <w:rsid w:val="00EE65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A2B1E"/>
  <w15:docId w15:val="{F15C7296-B9D6-43BD-A031-C0C832A65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31A8"/>
  </w:style>
  <w:style w:type="paragraph" w:styleId="Ttulo1">
    <w:name w:val="heading 1"/>
    <w:basedOn w:val="Normal"/>
    <w:next w:val="Normal"/>
    <w:link w:val="Ttulo1Car"/>
    <w:uiPriority w:val="9"/>
    <w:qFormat/>
    <w:rsid w:val="005234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F14D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4D0D"/>
  </w:style>
  <w:style w:type="paragraph" w:styleId="Piedepgina">
    <w:name w:val="footer"/>
    <w:basedOn w:val="Normal"/>
    <w:link w:val="PiedepginaCar"/>
    <w:uiPriority w:val="99"/>
    <w:unhideWhenUsed/>
    <w:rsid w:val="00F14D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4D0D"/>
  </w:style>
  <w:style w:type="table" w:styleId="Tablaconcuadrcula">
    <w:name w:val="Table Grid"/>
    <w:basedOn w:val="Tablanormal"/>
    <w:uiPriority w:val="39"/>
    <w:rsid w:val="009D2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7434"/>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61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1113"/>
    <w:rPr>
      <w:rFonts w:ascii="Segoe UI" w:hAnsi="Segoe UI" w:cs="Segoe UI"/>
      <w:sz w:val="18"/>
      <w:szCs w:val="18"/>
    </w:rPr>
  </w:style>
  <w:style w:type="paragraph" w:styleId="Sinespaciado">
    <w:name w:val="No Spacing"/>
    <w:qFormat/>
    <w:rsid w:val="00061113"/>
    <w:pPr>
      <w:spacing w:after="0" w:line="240" w:lineRule="auto"/>
    </w:pPr>
    <w:rPr>
      <w:rFonts w:cs="Times New Roman"/>
      <w:lang w:val="es-ES"/>
    </w:rPr>
  </w:style>
  <w:style w:type="character" w:customStyle="1" w:styleId="5yl5">
    <w:name w:val="_5yl5"/>
    <w:rsid w:val="00061113"/>
  </w:style>
  <w:style w:type="character" w:styleId="Refdecomentario">
    <w:name w:val="annotation reference"/>
    <w:basedOn w:val="Fuentedeprrafopredeter"/>
    <w:uiPriority w:val="99"/>
    <w:semiHidden/>
    <w:unhideWhenUsed/>
    <w:rsid w:val="007002B4"/>
    <w:rPr>
      <w:sz w:val="16"/>
      <w:szCs w:val="16"/>
    </w:rPr>
  </w:style>
  <w:style w:type="paragraph" w:styleId="Textocomentario">
    <w:name w:val="annotation text"/>
    <w:basedOn w:val="Normal"/>
    <w:link w:val="TextocomentarioCar"/>
    <w:uiPriority w:val="99"/>
    <w:semiHidden/>
    <w:unhideWhenUsed/>
    <w:rsid w:val="007002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002B4"/>
    <w:rPr>
      <w:sz w:val="20"/>
      <w:szCs w:val="20"/>
    </w:rPr>
  </w:style>
  <w:style w:type="character" w:styleId="Hipervnculo">
    <w:name w:val="Hyperlink"/>
    <w:basedOn w:val="Fuentedeprrafopredeter"/>
    <w:uiPriority w:val="99"/>
    <w:unhideWhenUsed/>
    <w:rsid w:val="007002B4"/>
    <w:rPr>
      <w:color w:val="0563C1"/>
      <w:u w:val="single"/>
    </w:rPr>
  </w:style>
  <w:style w:type="paragraph" w:styleId="NormalWeb">
    <w:name w:val="Normal (Web)"/>
    <w:basedOn w:val="Normal"/>
    <w:uiPriority w:val="99"/>
    <w:unhideWhenUsed/>
    <w:rsid w:val="00515B61"/>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Footnote"/>
    <w:basedOn w:val="Normal"/>
    <w:uiPriority w:val="34"/>
    <w:qFormat/>
    <w:rsid w:val="003A22B3"/>
    <w:pPr>
      <w:ind w:left="720"/>
      <w:contextualSpacing/>
    </w:pPr>
  </w:style>
  <w:style w:type="character" w:styleId="Textoennegrita">
    <w:name w:val="Strong"/>
    <w:basedOn w:val="Fuentedeprrafopredeter"/>
    <w:uiPriority w:val="22"/>
    <w:qFormat/>
    <w:rsid w:val="00A34F4E"/>
    <w:rPr>
      <w:b/>
      <w:bCs/>
    </w:rPr>
  </w:style>
  <w:style w:type="paragraph" w:styleId="Textonotapie">
    <w:name w:val="footnote text"/>
    <w:aliases w:val="Footnote Text Char Char Char Char Char,Footnote Text Cha,Footnote Text Char Char Char Char,Footnote reference,FA Fu,Footnote Text Char Char Char,FA Fußnotentext,FA Fuﬂnotentext,Footnote Text Char Char,FA Fu?notente,Ca,FA Fu?notentext,C,ft"/>
    <w:basedOn w:val="Normal"/>
    <w:link w:val="TextonotapieCar"/>
    <w:unhideWhenUsed/>
    <w:qFormat/>
    <w:rsid w:val="00B66D74"/>
    <w:pPr>
      <w:spacing w:after="0" w:line="240" w:lineRule="auto"/>
    </w:pPr>
    <w:rPr>
      <w:sz w:val="20"/>
      <w:szCs w:val="20"/>
    </w:rPr>
  </w:style>
  <w:style w:type="character" w:customStyle="1" w:styleId="TextonotapieCar">
    <w:name w:val="Texto nota pie Car"/>
    <w:aliases w:val="Footnote Text Char Char Char Char Char Car,Footnote Text Cha Car,Footnote Text Char Char Char Char Car,Footnote reference Car,FA Fu Car,Footnote Text Char Char Char Car,FA Fußnotentext Car,FA Fuﬂnotentext Car,FA Fu?notente Car,Ca Car"/>
    <w:basedOn w:val="Fuentedeprrafopredeter"/>
    <w:link w:val="Textonotapie"/>
    <w:rsid w:val="00B66D74"/>
    <w:rPr>
      <w:sz w:val="20"/>
      <w:szCs w:val="20"/>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basedOn w:val="Fuentedeprrafopredeter"/>
    <w:unhideWhenUsed/>
    <w:rsid w:val="00B66D74"/>
    <w:rPr>
      <w:vertAlign w:val="superscript"/>
    </w:rPr>
  </w:style>
  <w:style w:type="character" w:customStyle="1" w:styleId="Ttulo1Car">
    <w:name w:val="Título 1 Car"/>
    <w:basedOn w:val="Fuentedeprrafopredeter"/>
    <w:link w:val="Ttulo1"/>
    <w:uiPriority w:val="9"/>
    <w:rsid w:val="005234AF"/>
    <w:rPr>
      <w:rFonts w:asciiTheme="majorHAnsi" w:eastAsiaTheme="majorEastAsia" w:hAnsiTheme="majorHAnsi" w:cstheme="majorBidi"/>
      <w:color w:val="2E74B5" w:themeColor="accent1" w:themeShade="BF"/>
      <w:sz w:val="32"/>
      <w:szCs w:val="32"/>
      <w:lang w:eastAsia="es-CO"/>
    </w:rPr>
  </w:style>
  <w:style w:type="paragraph" w:styleId="Bibliografa">
    <w:name w:val="Bibliography"/>
    <w:basedOn w:val="Normal"/>
    <w:next w:val="Normal"/>
    <w:uiPriority w:val="37"/>
    <w:unhideWhenUsed/>
    <w:rsid w:val="005234AF"/>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ienti.colciencias.gov.co:8081/cvlac/visualizador/generarCurriculoCv.do?cod_rh=0001404433" TargetMode="External"/><Relationship Id="rId13" Type="http://schemas.openxmlformats.org/officeDocument/2006/relationships/hyperlink" Target="https://scholar.google.es/citations?hl=es&amp;user=CPrWu_gAAAAJ"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orcid.org/0000-0001-9829-861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cholar.google.es/citations?user=K0IcGFYAAAAJ&amp;hl=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enti.colciencias.gov.co:8081/cvlac/visualizador/generarCurriculoCv.do?cod_rh=0001217127" TargetMode="External"/><Relationship Id="rId5" Type="http://schemas.openxmlformats.org/officeDocument/2006/relationships/webSettings" Target="webSettings.xml"/><Relationship Id="rId15" Type="http://schemas.openxmlformats.org/officeDocument/2006/relationships/hyperlink" Target="https://orcid.org/0000-0001-5051-8113" TargetMode="External"/><Relationship Id="rId23" Type="http://schemas.openxmlformats.org/officeDocument/2006/relationships/theme" Target="theme/theme1.xml"/><Relationship Id="rId10" Type="http://schemas.openxmlformats.org/officeDocument/2006/relationships/hyperlink" Target="https://scholar.google.es/citations?view_op=list_works&amp;hl=es&amp;user=luQPkg8AAAAJ"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orcid.org/0000-0001-5415-9250" TargetMode="External"/><Relationship Id="rId14" Type="http://schemas.openxmlformats.org/officeDocument/2006/relationships/hyperlink" Target="http://scienti.colciencias.gov.co:8081/cvlac/visualizador/generarCurriculoCv.do?cod_rh=0000006805"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kr/YD4iivdWUSXYTYhvR4sbUjw==">AMUW2mVCNTc6yRMOaqpGqwayiBIBEblHhL2Pikx6vnihlhIny4FwMGqQm/GNmrwURdbqLsz7ztdNraOk7Hp62g5MGHJYYl9MgPycNtdO+v+H1lseWx6K8+d2sD8F3IMVPfrVJbWk/sHFxG3fOw6Zmfk8/JDd5mpoBCUkMViRlZ75pJzqeYgnJIH9QCwve+sO8Dkt/ahqkjU2NUNlcPvw9sKQf3uCLzomGNd+TdLYY2pMAvOoaCiff4all7R8TYeM+EjjNOtrkKii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5706</Words>
  <Characters>32526</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 Unidad de Investigación</dc:creator>
  <cp:lastModifiedBy>familia.enciso@outlook.com</cp:lastModifiedBy>
  <cp:revision>4</cp:revision>
  <dcterms:created xsi:type="dcterms:W3CDTF">2019-08-05T15:34:00Z</dcterms:created>
  <dcterms:modified xsi:type="dcterms:W3CDTF">2019-08-05T22:34:00Z</dcterms:modified>
</cp:coreProperties>
</file>