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pPr>
      <w:r w:rsidDel="00000000" w:rsidR="00000000" w:rsidRPr="00000000">
        <w:rPr>
          <w:rtl w:val="0"/>
        </w:rPr>
      </w:r>
    </w:p>
    <w:p w:rsidR="00000000" w:rsidDel="00000000" w:rsidP="00000000" w:rsidRDefault="00000000" w:rsidRPr="00000000" w14:paraId="00000002">
      <w:pPr>
        <w:pStyle w:val="Heading1"/>
        <w:numPr>
          <w:ilvl w:val="0"/>
          <w:numId w:val="1"/>
        </w:numPr>
        <w:ind w:left="432" w:hanging="432"/>
        <w:rPr/>
      </w:pPr>
      <w:r w:rsidDel="00000000" w:rsidR="00000000" w:rsidRPr="00000000">
        <w:rPr>
          <w:rtl w:val="0"/>
        </w:rPr>
        <w:t xml:space="preserve">OBJETIVO</w:t>
      </w:r>
    </w:p>
    <w:p w:rsidR="00000000" w:rsidDel="00000000" w:rsidP="00000000" w:rsidRDefault="00000000" w:rsidRPr="00000000" w14:paraId="00000003">
      <w:pPr>
        <w:spacing w:after="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Establecer los lineamientos para la identificación, registro y análisis de observaciones y no conformidades en la ejecución de los procesos de los sistemas de gestión de </w:t>
      </w:r>
      <w:r w:rsidDel="00000000" w:rsidR="00000000" w:rsidRPr="00000000">
        <w:rPr>
          <w:rFonts w:ascii="Tahoma" w:cs="Tahoma" w:eastAsia="Tahoma" w:hAnsi="Tahoma"/>
          <w:b w:val="1"/>
          <w:sz w:val="20"/>
          <w:szCs w:val="20"/>
          <w:rtl w:val="0"/>
        </w:rPr>
        <w:t xml:space="preserve">INDUBRIZ S.A.S.</w:t>
      </w:r>
      <w:r w:rsidDel="00000000" w:rsidR="00000000" w:rsidRPr="00000000">
        <w:rPr>
          <w:rFonts w:ascii="Tahoma" w:cs="Tahoma" w:eastAsia="Tahoma" w:hAnsi="Tahoma"/>
          <w:sz w:val="20"/>
          <w:szCs w:val="20"/>
          <w:rtl w:val="0"/>
        </w:rPr>
        <w:t xml:space="preserve">, con el propósito de implementar acciones correctivas que eliminen sus causas, contribuyendo así a la mejora continua.</w:t>
      </w:r>
    </w:p>
    <w:p w:rsidR="00000000" w:rsidDel="00000000" w:rsidP="00000000" w:rsidRDefault="00000000" w:rsidRPr="00000000" w14:paraId="00000004">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05">
      <w:pPr>
        <w:pStyle w:val="Heading1"/>
        <w:numPr>
          <w:ilvl w:val="0"/>
          <w:numId w:val="1"/>
        </w:numPr>
        <w:ind w:left="432" w:hanging="432"/>
        <w:rPr/>
      </w:pPr>
      <w:r w:rsidDel="00000000" w:rsidR="00000000" w:rsidRPr="00000000">
        <w:rPr>
          <w:rtl w:val="0"/>
        </w:rPr>
        <w:t xml:space="preserve">ALCANCE</w:t>
      </w:r>
    </w:p>
    <w:p w:rsidR="00000000" w:rsidDel="00000000" w:rsidP="00000000" w:rsidRDefault="00000000" w:rsidRPr="00000000" w14:paraId="00000006">
      <w:pPr>
        <w:spacing w:after="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Este procedimiento aplica a todos los procesos del Sistema Integrado de Gestión, abarcando desde la detección de observaciones o no conformidades hasta la implementación de las acciones correctivas necesarias para evitar su recurrencia. Incluye desde la identificación de la no conformidad u observación hasta el cierre efectivo del plan de acción y el correcto archivo de los registros.</w:t>
      </w:r>
    </w:p>
    <w:p w:rsidR="00000000" w:rsidDel="00000000" w:rsidP="00000000" w:rsidRDefault="00000000" w:rsidRPr="00000000" w14:paraId="00000007">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08">
      <w:pPr>
        <w:pStyle w:val="Heading1"/>
        <w:numPr>
          <w:ilvl w:val="0"/>
          <w:numId w:val="1"/>
        </w:numPr>
        <w:ind w:left="432" w:hanging="432"/>
        <w:rPr/>
      </w:pPr>
      <w:r w:rsidDel="00000000" w:rsidR="00000000" w:rsidRPr="00000000">
        <w:rPr>
          <w:rtl w:val="0"/>
        </w:rPr>
        <w:t xml:space="preserve">RESPONSABLES</w:t>
      </w:r>
    </w:p>
    <w:p w:rsidR="00000000" w:rsidDel="00000000" w:rsidP="00000000" w:rsidRDefault="00000000" w:rsidRPr="00000000" w14:paraId="00000009">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Quién debe conocerlo:</w:t>
      </w:r>
      <w:r w:rsidDel="00000000" w:rsidR="00000000" w:rsidRPr="00000000">
        <w:rPr>
          <w:rFonts w:ascii="Tahoma" w:cs="Tahoma" w:eastAsia="Tahoma" w:hAnsi="Tahoma"/>
          <w:sz w:val="20"/>
          <w:szCs w:val="20"/>
          <w:rtl w:val="0"/>
        </w:rPr>
        <w:t xml:space="preserve"> Personal de la compañía.</w:t>
      </w:r>
    </w:p>
    <w:p w:rsidR="00000000" w:rsidDel="00000000" w:rsidP="00000000" w:rsidRDefault="00000000" w:rsidRPr="00000000" w14:paraId="0000000A">
      <w:pPr>
        <w:spacing w:after="0" w:line="24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Quién debe ejecutarlo:</w:t>
      </w:r>
      <w:r w:rsidDel="00000000" w:rsidR="00000000" w:rsidRPr="00000000">
        <w:rPr>
          <w:rFonts w:ascii="Tahoma" w:cs="Tahoma" w:eastAsia="Tahoma" w:hAnsi="Tahoma"/>
          <w:sz w:val="20"/>
          <w:szCs w:val="20"/>
          <w:rtl w:val="0"/>
        </w:rPr>
        <w:t xml:space="preserve"> Líderes de procesos.</w:t>
      </w:r>
    </w:p>
    <w:p w:rsidR="00000000" w:rsidDel="00000000" w:rsidP="00000000" w:rsidRDefault="00000000" w:rsidRPr="00000000" w14:paraId="0000000B">
      <w:pPr>
        <w:spacing w:after="0" w:line="24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Quién debe hacerlo cumplir: </w:t>
      </w:r>
      <w:r w:rsidDel="00000000" w:rsidR="00000000" w:rsidRPr="00000000">
        <w:rPr>
          <w:rFonts w:ascii="Tahoma" w:cs="Tahoma" w:eastAsia="Tahoma" w:hAnsi="Tahoma"/>
          <w:sz w:val="20"/>
          <w:szCs w:val="20"/>
          <w:rtl w:val="0"/>
        </w:rPr>
        <w:t xml:space="preserve">Gerente General / Gerente de Recursos e Infraestructura.</w:t>
      </w:r>
    </w:p>
    <w:p w:rsidR="00000000" w:rsidDel="00000000" w:rsidP="00000000" w:rsidRDefault="00000000" w:rsidRPr="00000000" w14:paraId="0000000C">
      <w:pPr>
        <w:spacing w:after="0" w:lineRule="auto"/>
        <w:jc w:val="both"/>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0D">
      <w:pPr>
        <w:pStyle w:val="Heading1"/>
        <w:numPr>
          <w:ilvl w:val="0"/>
          <w:numId w:val="1"/>
        </w:numPr>
        <w:ind w:left="432" w:hanging="432"/>
        <w:rPr/>
      </w:pPr>
      <w:r w:rsidDel="00000000" w:rsidR="00000000" w:rsidRPr="00000000">
        <w:rPr>
          <w:rtl w:val="0"/>
        </w:rPr>
        <w:t xml:space="preserve">DOCUMENTOS DE REFERENCIA</w:t>
      </w:r>
    </w:p>
    <w:p w:rsidR="00000000" w:rsidDel="00000000" w:rsidP="00000000" w:rsidRDefault="00000000" w:rsidRPr="00000000" w14:paraId="0000000E">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PLAN DE ACCIÓN ¨FR-SGI-001¨: </w:t>
      </w:r>
      <w:r w:rsidDel="00000000" w:rsidR="00000000" w:rsidRPr="00000000">
        <w:rPr>
          <w:rFonts w:ascii="Tahoma" w:cs="Tahoma" w:eastAsia="Tahoma" w:hAnsi="Tahoma"/>
          <w:sz w:val="20"/>
          <w:szCs w:val="20"/>
          <w:rtl w:val="0"/>
        </w:rPr>
        <w:t xml:space="preserve">Formato donde se describe la no conformidad u observación y se hace el análisis de causas, describiendo las acciones para el cierre de las mismas. </w:t>
      </w:r>
    </w:p>
    <w:p w:rsidR="00000000" w:rsidDel="00000000" w:rsidP="00000000" w:rsidRDefault="00000000" w:rsidRPr="00000000" w14:paraId="0000000F">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0">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REPORTE DE INCONFORMIDADES ¨FR-SGI-023¨: </w:t>
      </w:r>
      <w:r w:rsidDel="00000000" w:rsidR="00000000" w:rsidRPr="00000000">
        <w:rPr>
          <w:rFonts w:ascii="Tahoma" w:cs="Tahoma" w:eastAsia="Tahoma" w:hAnsi="Tahoma"/>
          <w:sz w:val="20"/>
          <w:szCs w:val="20"/>
          <w:rtl w:val="0"/>
        </w:rPr>
        <w:t xml:space="preserve">Formato donde se reportan inconformidades de los productos o procesos, esta es de uso externo e interno.</w:t>
      </w:r>
    </w:p>
    <w:p w:rsidR="00000000" w:rsidDel="00000000" w:rsidP="00000000" w:rsidRDefault="00000000" w:rsidRPr="00000000" w14:paraId="00000011">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2">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SEGUIMIENTO A PLANES DE ACCIÓN ¨FR-SGI-0XX¨: </w:t>
      </w:r>
      <w:r w:rsidDel="00000000" w:rsidR="00000000" w:rsidRPr="00000000">
        <w:rPr>
          <w:rFonts w:ascii="Tahoma" w:cs="Tahoma" w:eastAsia="Tahoma" w:hAnsi="Tahoma"/>
          <w:sz w:val="20"/>
          <w:szCs w:val="20"/>
          <w:rtl w:val="0"/>
        </w:rPr>
        <w:t xml:space="preserve">Formato donde se lleva seguimiento a los planes de acción derivados del análisis de no conformidades u observaciones. </w:t>
      </w:r>
    </w:p>
    <w:p w:rsidR="00000000" w:rsidDel="00000000" w:rsidP="00000000" w:rsidRDefault="00000000" w:rsidRPr="00000000" w14:paraId="00000013">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4">
      <w:pPr>
        <w:pStyle w:val="Heading1"/>
        <w:numPr>
          <w:ilvl w:val="0"/>
          <w:numId w:val="1"/>
        </w:numPr>
        <w:ind w:left="432" w:hanging="432"/>
        <w:rPr/>
      </w:pPr>
      <w:r w:rsidDel="00000000" w:rsidR="00000000" w:rsidRPr="00000000">
        <w:rPr>
          <w:rtl w:val="0"/>
        </w:rPr>
        <w:t xml:space="preserve">DEFINICIONES</w:t>
      </w:r>
    </w:p>
    <w:p w:rsidR="00000000" w:rsidDel="00000000" w:rsidP="00000000" w:rsidRDefault="00000000" w:rsidRPr="00000000" w14:paraId="00000015">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ACCIÓN CORRECTIVA:</w:t>
      </w:r>
      <w:r w:rsidDel="00000000" w:rsidR="00000000" w:rsidRPr="00000000">
        <w:rPr>
          <w:rFonts w:ascii="Tahoma" w:cs="Tahoma" w:eastAsia="Tahoma" w:hAnsi="Tahoma"/>
          <w:sz w:val="20"/>
          <w:szCs w:val="20"/>
          <w:rtl w:val="0"/>
        </w:rPr>
        <w:t xml:space="preserve"> Acción para eliminar la causa de una no conformidad y evitar que vuelva a ocurrir. Puede haber más de una causa para una no conformidad.</w:t>
      </w:r>
    </w:p>
    <w:p w:rsidR="00000000" w:rsidDel="00000000" w:rsidP="00000000" w:rsidRDefault="00000000" w:rsidRPr="00000000" w14:paraId="00000016">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7">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ANÁLISIS DE CAUSAS:</w:t>
      </w:r>
      <w:r w:rsidDel="00000000" w:rsidR="00000000" w:rsidRPr="00000000">
        <w:rPr>
          <w:rFonts w:ascii="Tahoma" w:cs="Tahoma" w:eastAsia="Tahoma" w:hAnsi="Tahoma"/>
          <w:sz w:val="20"/>
          <w:szCs w:val="20"/>
          <w:rtl w:val="0"/>
        </w:rPr>
        <w:t xml:space="preserve"> Metodología empleada para detectar la causa raíz de la no conformidad real y potencial. </w:t>
      </w:r>
    </w:p>
    <w:p w:rsidR="00000000" w:rsidDel="00000000" w:rsidP="00000000" w:rsidRDefault="00000000" w:rsidRPr="00000000" w14:paraId="00000018">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9">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CORRECCIÓN: </w:t>
      </w:r>
      <w:r w:rsidDel="00000000" w:rsidR="00000000" w:rsidRPr="00000000">
        <w:rPr>
          <w:rFonts w:ascii="Tahoma" w:cs="Tahoma" w:eastAsia="Tahoma" w:hAnsi="Tahoma"/>
          <w:sz w:val="20"/>
          <w:szCs w:val="20"/>
          <w:rtl w:val="0"/>
        </w:rPr>
        <w:t xml:space="preserve">Acción para eliminar una no conformidad detectada.</w:t>
      </w:r>
    </w:p>
    <w:p w:rsidR="00000000" w:rsidDel="00000000" w:rsidP="00000000" w:rsidRDefault="00000000" w:rsidRPr="00000000" w14:paraId="0000001A">
      <w:pPr>
        <w:spacing w:after="0" w:lineRule="auto"/>
        <w:jc w:val="both"/>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1B">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DESEMPEÑO:</w:t>
      </w:r>
      <w:r w:rsidDel="00000000" w:rsidR="00000000" w:rsidRPr="00000000">
        <w:rPr>
          <w:rFonts w:ascii="Tahoma" w:cs="Tahoma" w:eastAsia="Tahoma" w:hAnsi="Tahoma"/>
          <w:sz w:val="20"/>
          <w:szCs w:val="20"/>
          <w:rtl w:val="0"/>
        </w:rPr>
        <w:t xml:space="preserve"> Resultado medible. Se puede relacionar con hallazgos cuantitativos o cualitativos, con la gestión, actividades, procesos, productos, servicios, sistemas u organizaciones.</w:t>
      </w:r>
    </w:p>
    <w:p w:rsidR="00000000" w:rsidDel="00000000" w:rsidP="00000000" w:rsidRDefault="00000000" w:rsidRPr="00000000" w14:paraId="0000001C">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D">
      <w:pPr>
        <w:spacing w:after="0" w:lineRule="auto"/>
        <w:jc w:val="both"/>
        <w:rPr>
          <w:rFonts w:ascii="Tahoma" w:cs="Tahoma" w:eastAsia="Tahoma" w:hAnsi="Tahoma"/>
          <w:b w:val="1"/>
          <w:sz w:val="20"/>
          <w:szCs w:val="20"/>
        </w:rPr>
      </w:pPr>
      <w:r w:rsidDel="00000000" w:rsidR="00000000" w:rsidRPr="00000000">
        <w:rPr>
          <w:rtl w:val="0"/>
        </w:rPr>
      </w:r>
    </w:p>
    <w:p w:rsidR="00000000" w:rsidDel="00000000" w:rsidP="00000000" w:rsidRDefault="00000000" w:rsidRPr="00000000" w14:paraId="0000001E">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EFICACIA:</w:t>
      </w:r>
      <w:r w:rsidDel="00000000" w:rsidR="00000000" w:rsidRPr="00000000">
        <w:rPr>
          <w:rFonts w:ascii="Tahoma" w:cs="Tahoma" w:eastAsia="Tahoma" w:hAnsi="Tahoma"/>
          <w:sz w:val="20"/>
          <w:szCs w:val="20"/>
          <w:rtl w:val="0"/>
        </w:rPr>
        <w:t xml:space="preserve"> Grado en el que se realizan las actividades planificadas y se logran los resultados planificados.</w:t>
      </w:r>
    </w:p>
    <w:p w:rsidR="00000000" w:rsidDel="00000000" w:rsidP="00000000" w:rsidRDefault="00000000" w:rsidRPr="00000000" w14:paraId="0000001F">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20">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EFICIENCIA:</w:t>
      </w:r>
      <w:r w:rsidDel="00000000" w:rsidR="00000000" w:rsidRPr="00000000">
        <w:rPr>
          <w:rFonts w:ascii="Tahoma" w:cs="Tahoma" w:eastAsia="Tahoma" w:hAnsi="Tahoma"/>
          <w:sz w:val="20"/>
          <w:szCs w:val="20"/>
          <w:rtl w:val="0"/>
        </w:rPr>
        <w:t xml:space="preserve"> Relación entre el resultado alcanzado y los recursos empleados.</w:t>
      </w:r>
    </w:p>
    <w:p w:rsidR="00000000" w:rsidDel="00000000" w:rsidP="00000000" w:rsidRDefault="00000000" w:rsidRPr="00000000" w14:paraId="00000021">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22">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MEJORA: </w:t>
      </w:r>
      <w:r w:rsidDel="00000000" w:rsidR="00000000" w:rsidRPr="00000000">
        <w:rPr>
          <w:rFonts w:ascii="Tahoma" w:cs="Tahoma" w:eastAsia="Tahoma" w:hAnsi="Tahoma"/>
          <w:sz w:val="20"/>
          <w:szCs w:val="20"/>
          <w:rtl w:val="0"/>
        </w:rPr>
        <w:t xml:space="preserve">Actividad para mejorar el desempeño. La actividad puede ser recurrente o puntual.</w:t>
      </w:r>
    </w:p>
    <w:p w:rsidR="00000000" w:rsidDel="00000000" w:rsidP="00000000" w:rsidRDefault="00000000" w:rsidRPr="00000000" w14:paraId="00000023">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24">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NO CONFORMIDAD:</w:t>
      </w:r>
      <w:r w:rsidDel="00000000" w:rsidR="00000000" w:rsidRPr="00000000">
        <w:rPr>
          <w:rFonts w:ascii="Tahoma" w:cs="Tahoma" w:eastAsia="Tahoma" w:hAnsi="Tahoma"/>
          <w:sz w:val="20"/>
          <w:szCs w:val="20"/>
          <w:rtl w:val="0"/>
        </w:rPr>
        <w:t xml:space="preserve"> Incumplimiento de un requisito.</w:t>
      </w:r>
    </w:p>
    <w:p w:rsidR="00000000" w:rsidDel="00000000" w:rsidP="00000000" w:rsidRDefault="00000000" w:rsidRPr="00000000" w14:paraId="00000025">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26">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OPORTUNIDAD DE MEJORA:</w:t>
      </w:r>
      <w:r w:rsidDel="00000000" w:rsidR="00000000" w:rsidRPr="00000000">
        <w:rPr>
          <w:rFonts w:ascii="Tahoma" w:cs="Tahoma" w:eastAsia="Tahoma" w:hAnsi="Tahoma"/>
          <w:sz w:val="20"/>
          <w:szCs w:val="20"/>
          <w:rtl w:val="0"/>
        </w:rPr>
        <w:t xml:space="preserve"> Acción tomada para mejorar una condición, actividad, procedimiento, producto o desempeño dentro de la organización. También se consideran como oportunidades aquellas acciones emprendidas sobre riesgos cuya valoración determinó su categorización en el nivel de riesgo mínimo en el cual se constituye como tratamiento aceptar el riesgo y dichas acciones pretenden reducir la probabilidad o mitigar el impacto del riesgo.</w:t>
      </w:r>
    </w:p>
    <w:p w:rsidR="00000000" w:rsidDel="00000000" w:rsidP="00000000" w:rsidRDefault="00000000" w:rsidRPr="00000000" w14:paraId="00000027">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28">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REVISIÓN:</w:t>
      </w:r>
      <w:r w:rsidDel="00000000" w:rsidR="00000000" w:rsidRPr="00000000">
        <w:rPr>
          <w:rFonts w:ascii="Tahoma" w:cs="Tahoma" w:eastAsia="Tahoma" w:hAnsi="Tahoma"/>
          <w:sz w:val="20"/>
          <w:szCs w:val="20"/>
          <w:rtl w:val="0"/>
        </w:rPr>
        <w:t xml:space="preserve"> Determinación de la conveniencia, adecuación o eficacia de un objeto para lograr unos objetivos establecidos.</w:t>
      </w:r>
    </w:p>
    <w:p w:rsidR="00000000" w:rsidDel="00000000" w:rsidP="00000000" w:rsidRDefault="00000000" w:rsidRPr="00000000" w14:paraId="00000029">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2A">
      <w:pPr>
        <w:spacing w:after="0" w:lineRule="auto"/>
        <w:jc w:val="both"/>
        <w:rPr>
          <w:rFonts w:ascii="Tahoma" w:cs="Tahoma" w:eastAsia="Tahoma" w:hAnsi="Tahoma"/>
          <w:sz w:val="20"/>
          <w:szCs w:val="20"/>
        </w:rPr>
      </w:pPr>
      <w:r w:rsidDel="00000000" w:rsidR="00000000" w:rsidRPr="00000000">
        <w:rPr>
          <w:rFonts w:ascii="Tahoma" w:cs="Tahoma" w:eastAsia="Tahoma" w:hAnsi="Tahoma"/>
          <w:b w:val="1"/>
          <w:sz w:val="20"/>
          <w:szCs w:val="20"/>
          <w:rtl w:val="0"/>
        </w:rPr>
        <w:t xml:space="preserve">SEGUIMIENTO:</w:t>
      </w:r>
      <w:r w:rsidDel="00000000" w:rsidR="00000000" w:rsidRPr="00000000">
        <w:rPr>
          <w:rFonts w:ascii="Tahoma" w:cs="Tahoma" w:eastAsia="Tahoma" w:hAnsi="Tahoma"/>
          <w:sz w:val="20"/>
          <w:szCs w:val="20"/>
          <w:rtl w:val="0"/>
        </w:rPr>
        <w:t xml:space="preserve"> Determinación del estado de un sistema, un proceso, un producto, un servicio o una actividad.</w:t>
      </w:r>
    </w:p>
    <w:p w:rsidR="00000000" w:rsidDel="00000000" w:rsidP="00000000" w:rsidRDefault="00000000" w:rsidRPr="00000000" w14:paraId="0000002B">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2C">
      <w:pPr>
        <w:pStyle w:val="Heading1"/>
        <w:numPr>
          <w:ilvl w:val="0"/>
          <w:numId w:val="1"/>
        </w:numPr>
        <w:ind w:left="432" w:hanging="432"/>
        <w:rPr/>
      </w:pPr>
      <w:r w:rsidDel="00000000" w:rsidR="00000000" w:rsidRPr="00000000">
        <w:rPr>
          <w:rtl w:val="0"/>
        </w:rPr>
        <w:t xml:space="preserve">DESCRIPCIÓN</w:t>
      </w:r>
    </w:p>
    <w:p w:rsidR="00000000" w:rsidDel="00000000" w:rsidP="00000000" w:rsidRDefault="00000000" w:rsidRPr="00000000" w14:paraId="0000002D">
      <w:pPr>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Dependiendo del tipo de hallazgo, se puede presentar:</w:t>
      </w:r>
    </w:p>
    <w:p w:rsidR="00000000" w:rsidDel="00000000" w:rsidP="00000000" w:rsidRDefault="00000000" w:rsidRPr="00000000" w14:paraId="0000002E">
      <w:pPr>
        <w:jc w:val="center"/>
        <w:rPr>
          <w:rFonts w:ascii="Tahoma" w:cs="Tahoma" w:eastAsia="Tahoma" w:hAnsi="Tahoma"/>
          <w:sz w:val="20"/>
          <w:szCs w:val="20"/>
        </w:rPr>
      </w:pPr>
      <w:r w:rsidDel="00000000" w:rsidR="00000000" w:rsidRPr="00000000">
        <w:rPr>
          <w:rFonts w:ascii="Tahoma" w:cs="Tahoma" w:eastAsia="Tahoma" w:hAnsi="Tahoma"/>
          <w:color w:val="595959"/>
          <w:sz w:val="20"/>
          <w:szCs w:val="20"/>
        </w:rPr>
        <mc:AlternateContent>
          <mc:Choice Requires="wpg">
            <w:drawing>
              <wp:inline distB="0" distT="0" distL="0" distR="0">
                <wp:extent cx="5524500" cy="2047875"/>
                <wp:effectExtent b="0" l="0" r="0" t="0"/>
                <wp:docPr id="28" name=""/>
                <a:graphic>
                  <a:graphicData uri="http://schemas.microsoft.com/office/word/2010/wordprocessingGroup">
                    <wpg:wgp>
                      <wpg:cNvGrpSpPr/>
                      <wpg:grpSpPr>
                        <a:xfrm>
                          <a:off x="0" y="0"/>
                          <a:ext cx="5524500" cy="2047875"/>
                          <a:chOff x="0" y="0"/>
                          <a:chExt cx="5524500" cy="2053475"/>
                        </a:xfrm>
                      </wpg:grpSpPr>
                      <wpg:grpSp>
                        <wpg:cNvGrpSpPr/>
                        <wpg:grpSpPr>
                          <a:xfrm>
                            <a:off x="0" y="0"/>
                            <a:ext cx="5524500" cy="2047875"/>
                            <a:chOff x="0" y="0"/>
                            <a:chExt cx="5524500" cy="2047875"/>
                          </a:xfrm>
                        </wpg:grpSpPr>
                        <wps:wsp>
                          <wps:cNvSpPr/>
                          <wps:cNvPr id="3" name="Shape 3"/>
                          <wps:spPr>
                            <a:xfrm>
                              <a:off x="0" y="0"/>
                              <a:ext cx="5524500" cy="2047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68844" y="573166"/>
                              <a:ext cx="1054331" cy="662959"/>
                            </a:xfrm>
                            <a:prstGeom prst="roundRect">
                              <a:avLst>
                                <a:gd fmla="val 10000" name="adj"/>
                              </a:avLst>
                            </a:prstGeom>
                            <a:solidFill>
                              <a:schemeClr val="accent4"/>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 name="Shape 5"/>
                          <wps:spPr>
                            <a:xfrm>
                              <a:off x="88261" y="592583"/>
                              <a:ext cx="1015497" cy="62412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Tahoma" w:cs="Tahoma" w:eastAsia="Tahoma" w:hAnsi="Tahoma"/>
                                    <w:b w:val="1"/>
                                    <w:i w:val="0"/>
                                    <w:smallCaps w:val="0"/>
                                    <w:strike w:val="0"/>
                                    <w:color w:val="000000"/>
                                    <w:sz w:val="20"/>
                                    <w:vertAlign w:val="baseline"/>
                                  </w:rPr>
                                  <w:t xml:space="preserve">Hallazgo</w:t>
                                </w:r>
                              </w:p>
                            </w:txbxContent>
                          </wps:txbx>
                          <wps:bodyPr anchorCtr="0" anchor="ctr" bIns="6350" lIns="6350" spcFirstLastPara="1" rIns="6350" wrap="square" tIns="6350">
                            <a:noAutofit/>
                          </wps:bodyPr>
                        </wps:wsp>
                        <wps:wsp>
                          <wps:cNvSpPr/>
                          <wps:cNvPr id="6" name="Shape 6"/>
                          <wps:spPr>
                            <a:xfrm rot="-3206570">
                              <a:off x="943139" y="517881"/>
                              <a:ext cx="890439" cy="58271"/>
                            </a:xfrm>
                            <a:custGeom>
                              <a:rect b="b" l="l" r="r" t="t"/>
                              <a:pathLst>
                                <a:path extrusionOk="0" h="120000" w="120000">
                                  <a:moveTo>
                                    <a:pt x="0" y="59999"/>
                                  </a:moveTo>
                                  <a:lnTo>
                                    <a:pt x="120000" y="59999"/>
                                  </a:lnTo>
                                </a:path>
                              </a:pathLst>
                            </a:custGeom>
                            <a:no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 name="Shape 7"/>
                          <wps:spPr>
                            <a:xfrm rot="-3206570">
                              <a:off x="1366098" y="524756"/>
                              <a:ext cx="44521" cy="4452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8" name="Shape 8"/>
                          <wps:spPr>
                            <a:xfrm>
                              <a:off x="1653542" y="773"/>
                              <a:ext cx="1475403" cy="377230"/>
                            </a:xfrm>
                            <a:prstGeom prst="roundRect">
                              <a:avLst>
                                <a:gd fmla="val 10000" name="adj"/>
                              </a:avLst>
                            </a:prstGeom>
                            <a:solidFill>
                              <a:schemeClr val="accent6"/>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 name="Shape 9"/>
                          <wps:spPr>
                            <a:xfrm>
                              <a:off x="1664591" y="11822"/>
                              <a:ext cx="1453305" cy="355132"/>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Tahoma" w:cs="Tahoma" w:eastAsia="Tahoma" w:hAnsi="Tahoma"/>
                                    <w:b w:val="0"/>
                                    <w:i w:val="0"/>
                                    <w:smallCaps w:val="0"/>
                                    <w:strike w:val="0"/>
                                    <w:color w:val="000000"/>
                                    <w:sz w:val="20"/>
                                    <w:vertAlign w:val="baseline"/>
                                  </w:rPr>
                                  <w:t xml:space="preserve">Nada</w:t>
                                </w:r>
                              </w:p>
                            </w:txbxContent>
                          </wps:txbx>
                          <wps:bodyPr anchorCtr="0" anchor="ctr" bIns="6350" lIns="6350" spcFirstLastPara="1" rIns="6350" wrap="square" tIns="6350">
                            <a:noAutofit/>
                          </wps:bodyPr>
                        </wps:wsp>
                        <wps:wsp>
                          <wps:cNvSpPr/>
                          <wps:cNvPr id="10" name="Shape 10"/>
                          <wps:spPr>
                            <a:xfrm rot="-1453218">
                              <a:off x="1097579" y="756219"/>
                              <a:ext cx="581559" cy="58271"/>
                            </a:xfrm>
                            <a:custGeom>
                              <a:rect b="b" l="l" r="r" t="t"/>
                              <a:pathLst>
                                <a:path extrusionOk="0" h="120000" w="120000">
                                  <a:moveTo>
                                    <a:pt x="0" y="59999"/>
                                  </a:moveTo>
                                  <a:lnTo>
                                    <a:pt x="120000" y="59999"/>
                                  </a:lnTo>
                                </a:path>
                              </a:pathLst>
                            </a:custGeom>
                            <a:no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 name="Shape 11"/>
                          <wps:spPr>
                            <a:xfrm rot="-1453218">
                              <a:off x="1373820" y="770815"/>
                              <a:ext cx="29077" cy="2907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2" name="Shape 12"/>
                          <wps:spPr>
                            <a:xfrm>
                              <a:off x="1653542" y="477448"/>
                              <a:ext cx="1475403" cy="377230"/>
                            </a:xfrm>
                            <a:prstGeom prst="roundRect">
                              <a:avLst>
                                <a:gd fmla="val 10000" name="adj"/>
                              </a:avLst>
                            </a:prstGeom>
                            <a:solidFill>
                              <a:schemeClr val="accent6"/>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 name="Shape 13"/>
                          <wps:spPr>
                            <a:xfrm>
                              <a:off x="1664591" y="488497"/>
                              <a:ext cx="1453305" cy="355132"/>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Tahoma" w:cs="Tahoma" w:eastAsia="Tahoma" w:hAnsi="Tahoma"/>
                                    <w:b w:val="0"/>
                                    <w:i w:val="0"/>
                                    <w:smallCaps w:val="0"/>
                                    <w:strike w:val="0"/>
                                    <w:color w:val="000000"/>
                                    <w:sz w:val="20"/>
                                    <w:vertAlign w:val="baseline"/>
                                  </w:rPr>
                                  <w:t xml:space="preserve">Observación</w:t>
                                </w:r>
                              </w:p>
                            </w:txbxContent>
                          </wps:txbx>
                          <wps:bodyPr anchorCtr="0" anchor="ctr" bIns="6350" lIns="6350" spcFirstLastPara="1" rIns="6350" wrap="square" tIns="6350">
                            <a:noAutofit/>
                          </wps:bodyPr>
                        </wps:wsp>
                        <wps:wsp>
                          <wps:cNvSpPr/>
                          <wps:cNvPr id="14" name="Shape 14"/>
                          <wps:spPr>
                            <a:xfrm rot="-1452557">
                              <a:off x="3103375" y="517697"/>
                              <a:ext cx="581509" cy="58271"/>
                            </a:xfrm>
                            <a:custGeom>
                              <a:rect b="b" l="l" r="r" t="t"/>
                              <a:pathLst>
                                <a:path extrusionOk="0" h="120000" w="120000">
                                  <a:moveTo>
                                    <a:pt x="0" y="59999"/>
                                  </a:moveTo>
                                  <a:lnTo>
                                    <a:pt x="120000" y="59999"/>
                                  </a:lnTo>
                                </a:path>
                              </a:pathLst>
                            </a:custGeom>
                            <a:noFill/>
                            <a:ln cap="flat" cmpd="sng" w="12700">
                              <a:solidFill>
                                <a:srgbClr val="4372C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5" name="Shape 15"/>
                          <wps:spPr>
                            <a:xfrm rot="-1452557">
                              <a:off x="3379592" y="532295"/>
                              <a:ext cx="29075" cy="2907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16" name="Shape 16"/>
                          <wps:spPr>
                            <a:xfrm>
                              <a:off x="3659313" y="238865"/>
                              <a:ext cx="1796341" cy="377475"/>
                            </a:xfrm>
                            <a:prstGeom prst="roundRect">
                              <a:avLst>
                                <a:gd fmla="val 10000" name="adj"/>
                              </a:avLst>
                            </a:prstGeom>
                            <a:solidFill>
                              <a:srgbClr val="4372C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7" name="Shape 17"/>
                          <wps:spPr>
                            <a:xfrm>
                              <a:off x="3670369" y="249921"/>
                              <a:ext cx="1774229" cy="35536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Tahoma" w:cs="Tahoma" w:eastAsia="Tahoma" w:hAnsi="Tahoma"/>
                                    <w:b w:val="0"/>
                                    <w:i w:val="0"/>
                                    <w:smallCaps w:val="0"/>
                                    <w:strike w:val="0"/>
                                    <w:color w:val="000000"/>
                                    <w:sz w:val="20"/>
                                    <w:vertAlign w:val="baseline"/>
                                  </w:rPr>
                                  <w:t xml:space="preserve">Oportunidad de mejora</w:t>
                                </w:r>
                              </w:p>
                            </w:txbxContent>
                          </wps:txbx>
                          <wps:bodyPr anchorCtr="0" anchor="ctr" bIns="6350" lIns="6350" spcFirstLastPara="1" rIns="6350" wrap="square" tIns="6350">
                            <a:noAutofit/>
                          </wps:bodyPr>
                        </wps:wsp>
                        <wps:wsp>
                          <wps:cNvSpPr/>
                          <wps:cNvPr id="18" name="Shape 18"/>
                          <wps:spPr>
                            <a:xfrm rot="1452557">
                              <a:off x="3103375" y="756157"/>
                              <a:ext cx="581509" cy="58271"/>
                            </a:xfrm>
                            <a:custGeom>
                              <a:rect b="b" l="l" r="r" t="t"/>
                              <a:pathLst>
                                <a:path extrusionOk="0" h="120000" w="120000">
                                  <a:moveTo>
                                    <a:pt x="0" y="59999"/>
                                  </a:moveTo>
                                  <a:lnTo>
                                    <a:pt x="120000" y="59999"/>
                                  </a:lnTo>
                                </a:path>
                              </a:pathLst>
                            </a:custGeom>
                            <a:noFill/>
                            <a:ln cap="flat" cmpd="sng" w="12700">
                              <a:solidFill>
                                <a:srgbClr val="4372C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 name="Shape 19"/>
                          <wps:spPr>
                            <a:xfrm rot="1452557">
                              <a:off x="3379592" y="770755"/>
                              <a:ext cx="29075" cy="2907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0" name="Shape 20"/>
                          <wps:spPr>
                            <a:xfrm>
                              <a:off x="3659313" y="715785"/>
                              <a:ext cx="1796341" cy="377475"/>
                            </a:xfrm>
                            <a:prstGeom prst="roundRect">
                              <a:avLst>
                                <a:gd fmla="val 10000" name="adj"/>
                              </a:avLst>
                            </a:prstGeom>
                            <a:solidFill>
                              <a:srgbClr val="4372C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1" name="Shape 21"/>
                          <wps:spPr>
                            <a:xfrm>
                              <a:off x="3670369" y="726841"/>
                              <a:ext cx="1774229" cy="35536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Tahoma" w:cs="Tahoma" w:eastAsia="Tahoma" w:hAnsi="Tahoma"/>
                                    <w:b w:val="0"/>
                                    <w:i w:val="0"/>
                                    <w:smallCaps w:val="0"/>
                                    <w:strike w:val="0"/>
                                    <w:color w:val="000000"/>
                                    <w:sz w:val="20"/>
                                    <w:vertAlign w:val="baseline"/>
                                  </w:rPr>
                                  <w:t xml:space="preserve">Acción preventiva</w:t>
                                </w:r>
                              </w:p>
                            </w:txbxContent>
                          </wps:txbx>
                          <wps:bodyPr anchorCtr="0" anchor="ctr" bIns="6350" lIns="6350" spcFirstLastPara="1" rIns="6350" wrap="square" tIns="6350">
                            <a:noAutofit/>
                          </wps:bodyPr>
                        </wps:wsp>
                        <wps:wsp>
                          <wps:cNvSpPr/>
                          <wps:cNvPr id="22" name="Shape 22"/>
                          <wps:spPr>
                            <a:xfrm rot="3206570">
                              <a:off x="943139" y="1233139"/>
                              <a:ext cx="890439" cy="58271"/>
                            </a:xfrm>
                            <a:custGeom>
                              <a:rect b="b" l="l" r="r" t="t"/>
                              <a:pathLst>
                                <a:path extrusionOk="0" h="120000" w="120000">
                                  <a:moveTo>
                                    <a:pt x="0" y="59999"/>
                                  </a:moveTo>
                                  <a:lnTo>
                                    <a:pt x="120000" y="59999"/>
                                  </a:lnTo>
                                </a:path>
                              </a:pathLst>
                            </a:custGeom>
                            <a:no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3" name="Shape 23"/>
                          <wps:spPr>
                            <a:xfrm rot="3206570">
                              <a:off x="1366098" y="1240013"/>
                              <a:ext cx="44521" cy="4452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4" name="Shape 24"/>
                          <wps:spPr>
                            <a:xfrm>
                              <a:off x="1653542" y="1431288"/>
                              <a:ext cx="1475403" cy="377230"/>
                            </a:xfrm>
                            <a:prstGeom prst="roundRect">
                              <a:avLst>
                                <a:gd fmla="val 10000" name="adj"/>
                              </a:avLst>
                            </a:prstGeom>
                            <a:solidFill>
                              <a:schemeClr val="accent6"/>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5" name="Shape 25"/>
                          <wps:spPr>
                            <a:xfrm>
                              <a:off x="1664591" y="1442337"/>
                              <a:ext cx="1453305" cy="355132"/>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Tahoma" w:cs="Tahoma" w:eastAsia="Tahoma" w:hAnsi="Tahoma"/>
                                    <w:b w:val="0"/>
                                    <w:i w:val="0"/>
                                    <w:smallCaps w:val="0"/>
                                    <w:strike w:val="0"/>
                                    <w:color w:val="000000"/>
                                    <w:sz w:val="20"/>
                                    <w:vertAlign w:val="baseline"/>
                                  </w:rPr>
                                  <w:t xml:space="preserve">No conformidad</w:t>
                                </w:r>
                              </w:p>
                            </w:txbxContent>
                          </wps:txbx>
                          <wps:bodyPr anchorCtr="0" anchor="ctr" bIns="6350" lIns="6350" spcFirstLastPara="1" rIns="6350" wrap="square" tIns="6350">
                            <a:noAutofit/>
                          </wps:bodyPr>
                        </wps:wsp>
                        <wps:wsp>
                          <wps:cNvSpPr/>
                          <wps:cNvPr id="26" name="Shape 26"/>
                          <wps:spPr>
                            <a:xfrm rot="-1452557">
                              <a:off x="3103375" y="1471537"/>
                              <a:ext cx="581509" cy="58271"/>
                            </a:xfrm>
                            <a:custGeom>
                              <a:rect b="b" l="l" r="r" t="t"/>
                              <a:pathLst>
                                <a:path extrusionOk="0" h="120000" w="120000">
                                  <a:moveTo>
                                    <a:pt x="0" y="59999"/>
                                  </a:moveTo>
                                  <a:lnTo>
                                    <a:pt x="120000" y="59999"/>
                                  </a:lnTo>
                                </a:path>
                              </a:pathLst>
                            </a:custGeom>
                            <a:noFill/>
                            <a:ln cap="flat" cmpd="sng" w="12700">
                              <a:solidFill>
                                <a:srgbClr val="4372C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7" name="Shape 27"/>
                          <wps:spPr>
                            <a:xfrm rot="-1452557">
                              <a:off x="3379592" y="1486135"/>
                              <a:ext cx="29075" cy="2907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28" name="Shape 28"/>
                          <wps:spPr>
                            <a:xfrm>
                              <a:off x="3659313" y="1192705"/>
                              <a:ext cx="1796341" cy="377475"/>
                            </a:xfrm>
                            <a:prstGeom prst="roundRect">
                              <a:avLst>
                                <a:gd fmla="val 10000" name="adj"/>
                              </a:avLst>
                            </a:prstGeom>
                            <a:solidFill>
                              <a:srgbClr val="4372C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9" name="Shape 29"/>
                          <wps:spPr>
                            <a:xfrm>
                              <a:off x="3670369" y="1203761"/>
                              <a:ext cx="1774229" cy="35536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Tahoma" w:cs="Tahoma" w:eastAsia="Tahoma" w:hAnsi="Tahoma"/>
                                    <w:b w:val="0"/>
                                    <w:i w:val="0"/>
                                    <w:smallCaps w:val="0"/>
                                    <w:strike w:val="0"/>
                                    <w:color w:val="000000"/>
                                    <w:sz w:val="20"/>
                                    <w:vertAlign w:val="baseline"/>
                                  </w:rPr>
                                  <w:t xml:space="preserve">Corrección</w:t>
                                </w:r>
                              </w:p>
                            </w:txbxContent>
                          </wps:txbx>
                          <wps:bodyPr anchorCtr="0" anchor="ctr" bIns="6350" lIns="6350" spcFirstLastPara="1" rIns="6350" wrap="square" tIns="6350">
                            <a:noAutofit/>
                          </wps:bodyPr>
                        </wps:wsp>
                        <wps:wsp>
                          <wps:cNvSpPr/>
                          <wps:cNvPr id="30" name="Shape 30"/>
                          <wps:spPr>
                            <a:xfrm rot="1452557">
                              <a:off x="3103375" y="1709997"/>
                              <a:ext cx="581509" cy="58271"/>
                            </a:xfrm>
                            <a:custGeom>
                              <a:rect b="b" l="l" r="r" t="t"/>
                              <a:pathLst>
                                <a:path extrusionOk="0" h="120000" w="120000">
                                  <a:moveTo>
                                    <a:pt x="0" y="59999"/>
                                  </a:moveTo>
                                  <a:lnTo>
                                    <a:pt x="120000" y="59999"/>
                                  </a:lnTo>
                                </a:path>
                              </a:pathLst>
                            </a:custGeom>
                            <a:noFill/>
                            <a:ln cap="flat" cmpd="sng" w="12700">
                              <a:solidFill>
                                <a:srgbClr val="4372C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1" name="Shape 31"/>
                          <wps:spPr>
                            <a:xfrm rot="1452557">
                              <a:off x="3379592" y="1724595"/>
                              <a:ext cx="29075" cy="2907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12700" spcFirstLastPara="1" rIns="12700" wrap="square" tIns="0">
                            <a:noAutofit/>
                          </wps:bodyPr>
                        </wps:wsp>
                        <wps:wsp>
                          <wps:cNvSpPr/>
                          <wps:cNvPr id="32" name="Shape 32"/>
                          <wps:spPr>
                            <a:xfrm>
                              <a:off x="3659313" y="1669625"/>
                              <a:ext cx="1796341" cy="377475"/>
                            </a:xfrm>
                            <a:prstGeom prst="roundRect">
                              <a:avLst>
                                <a:gd fmla="val 10000" name="adj"/>
                              </a:avLst>
                            </a:prstGeom>
                            <a:solidFill>
                              <a:srgbClr val="4372C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3" name="Shape 33"/>
                          <wps:spPr>
                            <a:xfrm>
                              <a:off x="3670369" y="1680681"/>
                              <a:ext cx="1774229" cy="35536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Tahoma" w:cs="Tahoma" w:eastAsia="Tahoma" w:hAnsi="Tahoma"/>
                                    <w:b w:val="0"/>
                                    <w:i w:val="0"/>
                                    <w:smallCaps w:val="0"/>
                                    <w:strike w:val="0"/>
                                    <w:color w:val="000000"/>
                                    <w:sz w:val="20"/>
                                    <w:vertAlign w:val="baseline"/>
                                  </w:rPr>
                                  <w:t xml:space="preserve">Acción correctiva</w:t>
                                </w:r>
                              </w:p>
                            </w:txbxContent>
                          </wps:txbx>
                          <wps:bodyPr anchorCtr="0" anchor="ctr" bIns="6350" lIns="6350" spcFirstLastPara="1" rIns="6350" wrap="square" tIns="6350">
                            <a:noAutofit/>
                          </wps:bodyPr>
                        </wps:wsp>
                      </wpg:grpSp>
                    </wpg:wgp>
                  </a:graphicData>
                </a:graphic>
              </wp:inline>
            </w:drawing>
          </mc:Choice>
          <mc:Fallback>
            <w:drawing>
              <wp:inline distB="0" distT="0" distL="0" distR="0">
                <wp:extent cx="5524500" cy="2047875"/>
                <wp:effectExtent b="0" l="0" r="0" t="0"/>
                <wp:docPr id="28"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524500" cy="20478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pStyle w:val="Heading2"/>
        <w:numPr>
          <w:ilvl w:val="1"/>
          <w:numId w:val="1"/>
        </w:numPr>
        <w:ind w:left="576" w:hanging="576"/>
        <w:rPr/>
      </w:pPr>
      <w:r w:rsidDel="00000000" w:rsidR="00000000" w:rsidRPr="00000000">
        <w:rPr>
          <w:rtl w:val="0"/>
        </w:rPr>
        <w:t xml:space="preserve">Fuentes para generar acciones correctivas</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Resultados de auditorías internas o externas (no conformidades).</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Resultado del análisis de datos, mediciones de satisfacción y de análisis de indicadores del proceso.</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Reportes de No Conformidades de impacto en el producto, satisfacción del cliente o procesos productivos y de apoyo.</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Quejas y reclamos.</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Resultados de las revisiones por la dirección.</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Resultados de autoevaluación o simulacros.</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Incidentes, accidentes o emergencias ambientales o del SG-SST.</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Incumplimiento de requisitos legales.</w:t>
      </w:r>
    </w:p>
    <w:p w:rsidR="00000000" w:rsidDel="00000000" w:rsidP="00000000" w:rsidRDefault="00000000" w:rsidRPr="00000000" w14:paraId="00000039">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3A">
      <w:pPr>
        <w:pStyle w:val="Heading2"/>
        <w:numPr>
          <w:ilvl w:val="1"/>
          <w:numId w:val="1"/>
        </w:numPr>
        <w:ind w:left="576" w:hanging="576"/>
        <w:rPr/>
      </w:pPr>
      <w:r w:rsidDel="00000000" w:rsidR="00000000" w:rsidRPr="00000000">
        <w:rPr>
          <w:rtl w:val="0"/>
        </w:rPr>
        <w:t xml:space="preserve">Fuentes para generar Oportunidades de mejora</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Recomendaciones o aspectos por mejorar de las auditorías internas o externas (observaciones).</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Cambios en procesos, productos o servicios.</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Nuevos requisitos legales que entren en vigencia.</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Tendencia al incumplimiento de indicadores.</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Análisis y valoración de riesgos.</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Resultados de las revisiones por la dirección.</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Inspecciones de seguridad.</w:t>
      </w:r>
    </w:p>
    <w:p w:rsidR="00000000" w:rsidDel="00000000" w:rsidP="00000000" w:rsidRDefault="00000000" w:rsidRPr="00000000" w14:paraId="00000042">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43">
      <w:pPr>
        <w:pStyle w:val="Heading2"/>
        <w:numPr>
          <w:ilvl w:val="1"/>
          <w:numId w:val="1"/>
        </w:numPr>
        <w:ind w:left="576" w:hanging="576"/>
        <w:rPr/>
      </w:pPr>
      <w:r w:rsidDel="00000000" w:rsidR="00000000" w:rsidRPr="00000000">
        <w:rPr>
          <w:rtl w:val="0"/>
        </w:rPr>
        <w:t xml:space="preserve">Fuentes para generar oportunidades de mejora</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Revisión de políticas y objetivos.</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Revisión de los resultados de las auditorías.</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Análisis de indicadores.</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Revisión por la dirección.</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Evaluación de los procesos.</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Cambios tecnológicos.</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Valoración de riesgos.</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67"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Participación activa de los responsables de procesos y sus colaboradores.</w:t>
      </w:r>
    </w:p>
    <w:p w:rsidR="00000000" w:rsidDel="00000000" w:rsidP="00000000" w:rsidRDefault="00000000" w:rsidRPr="00000000" w14:paraId="0000004C">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4D">
      <w:pPr>
        <w:pStyle w:val="Heading2"/>
        <w:numPr>
          <w:ilvl w:val="1"/>
          <w:numId w:val="1"/>
        </w:numPr>
        <w:ind w:left="576" w:hanging="576"/>
        <w:rPr/>
      </w:pPr>
      <w:r w:rsidDel="00000000" w:rsidR="00000000" w:rsidRPr="00000000">
        <w:rPr>
          <w:rtl w:val="0"/>
        </w:rPr>
        <w:t xml:space="preserve">Metodología para generar acciones correctivas y oportunidades de mejora</w:t>
      </w:r>
    </w:p>
    <w:p w:rsidR="00000000" w:rsidDel="00000000" w:rsidP="00000000" w:rsidRDefault="00000000" w:rsidRPr="00000000" w14:paraId="0000004E">
      <w:pPr>
        <w:spacing w:after="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Es responsabilidad del Jefe o Responsable del Proceso donde se identifica la observación o no conformidad, documentar el formato “FR-SGI-001 PLAN DE ACCIÓN”, realizar el análisis de la causa raíz, establecer un plan de acción y velar por el cumplimiento de las actividades y el cierre de forma eficaz.</w:t>
      </w:r>
    </w:p>
    <w:p w:rsidR="00000000" w:rsidDel="00000000" w:rsidP="00000000" w:rsidRDefault="00000000" w:rsidRPr="00000000" w14:paraId="0000004F">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50">
      <w:pPr>
        <w:spacing w:after="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Cualquier trabajador de la organización puede reportar una No Conformidad al Responsable del proceso.</w:t>
      </w:r>
    </w:p>
    <w:p w:rsidR="00000000" w:rsidDel="00000000" w:rsidP="00000000" w:rsidRDefault="00000000" w:rsidRPr="00000000" w14:paraId="00000051">
      <w:pPr>
        <w:spacing w:after="0"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52">
      <w:pPr>
        <w:spacing w:after="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La elaboración de los planes de acción deberá realizarse en un transcurso no mayor a los diez (10) días hábiles posterior a la identificación de la no conformidad.</w:t>
      </w:r>
    </w:p>
    <w:p w:rsidR="00000000" w:rsidDel="00000000" w:rsidP="00000000" w:rsidRDefault="00000000" w:rsidRPr="00000000" w14:paraId="00000053">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54">
      <w:pPr>
        <w:pStyle w:val="Heading3"/>
        <w:numPr>
          <w:ilvl w:val="2"/>
          <w:numId w:val="1"/>
        </w:numPr>
        <w:ind w:left="720" w:hanging="720"/>
        <w:rPr/>
      </w:pPr>
      <w:r w:rsidDel="00000000" w:rsidR="00000000" w:rsidRPr="00000000">
        <w:rPr>
          <w:rtl w:val="0"/>
        </w:rPr>
        <w:t xml:space="preserve">Análisis de causa raíz</w:t>
      </w:r>
    </w:p>
    <w:p w:rsidR="00000000" w:rsidDel="00000000" w:rsidP="00000000" w:rsidRDefault="00000000" w:rsidRPr="00000000" w14:paraId="00000055">
      <w:pPr>
        <w:spacing w:after="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El objetivo del análisis de causa raíz es encontrar el origen real de la No Conformidad a través de la identificación de la secuencia de eventos que han conducido a las fallas para crear un plan que permita prevenir su recurrencia en el futuro.</w:t>
      </w:r>
    </w:p>
    <w:p w:rsidR="00000000" w:rsidDel="00000000" w:rsidP="00000000" w:rsidRDefault="00000000" w:rsidRPr="00000000" w14:paraId="00000056">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57">
      <w:pPr>
        <w:spacing w:after="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Para el análisis de causa raíz el Responsable del proceso realizará la pertinente investigación junto con el Coordinador de Gestión Humana y SGI y las personas que él considere pertinentes.</w:t>
      </w:r>
    </w:p>
    <w:p w:rsidR="00000000" w:rsidDel="00000000" w:rsidP="00000000" w:rsidRDefault="00000000" w:rsidRPr="00000000" w14:paraId="00000058">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59">
      <w:pPr>
        <w:spacing w:after="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Etapas del análisis de causa raíz:</w:t>
      </w:r>
    </w:p>
    <w:p w:rsidR="00000000" w:rsidDel="00000000" w:rsidP="00000000" w:rsidRDefault="00000000" w:rsidRPr="00000000" w14:paraId="000000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Planteamiento del problema.</w:t>
      </w:r>
    </w:p>
    <w:p w:rsidR="00000000" w:rsidDel="00000000" w:rsidP="00000000" w:rsidRDefault="00000000" w:rsidRPr="00000000" w14:paraId="000000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Descripción del sistema o proceso en estudio.</w:t>
      </w:r>
    </w:p>
    <w:p w:rsidR="00000000" w:rsidDel="00000000" w:rsidP="00000000" w:rsidRDefault="00000000" w:rsidRPr="00000000" w14:paraId="000000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Revisión de las evidencias.</w:t>
      </w:r>
    </w:p>
    <w:p w:rsidR="00000000" w:rsidDel="00000000" w:rsidP="00000000" w:rsidRDefault="00000000" w:rsidRPr="00000000" w14:paraId="000000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Establecimiento de las hipótesis fundadas.</w:t>
      </w:r>
    </w:p>
    <w:p w:rsidR="00000000" w:rsidDel="00000000" w:rsidP="00000000" w:rsidRDefault="00000000" w:rsidRPr="00000000" w14:paraId="000000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Prueba de las hipótesis.</w:t>
      </w:r>
    </w:p>
    <w:p w:rsidR="00000000" w:rsidDel="00000000" w:rsidP="00000000" w:rsidRDefault="00000000" w:rsidRPr="00000000" w14:paraId="000000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Explicación de la causa raíz.</w:t>
      </w:r>
    </w:p>
    <w:p w:rsidR="00000000" w:rsidDel="00000000" w:rsidP="00000000" w:rsidRDefault="00000000" w:rsidRPr="00000000" w14:paraId="00000060">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61">
      <w:pPr>
        <w:spacing w:after="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Para el análisis de la causa raíz se establecen 2 metodologías:</w:t>
      </w:r>
    </w:p>
    <w:p w:rsidR="00000000" w:rsidDel="00000000" w:rsidP="00000000" w:rsidRDefault="00000000" w:rsidRPr="00000000" w14:paraId="00000062">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Cinco porqués:</w:t>
      </w:r>
    </w:p>
    <w:p w:rsidR="00000000" w:rsidDel="00000000" w:rsidP="00000000" w:rsidRDefault="00000000" w:rsidRPr="00000000" w14:paraId="00000064">
      <w:pPr>
        <w:spacing w:after="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Técnica sistemática de preguntas utilizada durante la fase de análisis de problemas para buscar posibles causas principales de un problema. La técnica requiere que el equipo pregunte “Por qué?” al menos cinco (5) veces, o trabaje a través de cinco niveles de detalle. Una vez que sea difícil para el equipo responder al “Por qué”, la causa más probable habrá sido identificada.</w:t>
      </w:r>
    </w:p>
    <w:p w:rsidR="00000000" w:rsidDel="00000000" w:rsidP="00000000" w:rsidRDefault="00000000" w:rsidRPr="00000000" w14:paraId="00000065">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Seis “M”:</w:t>
      </w:r>
    </w:p>
    <w:p w:rsidR="00000000" w:rsidDel="00000000" w:rsidP="00000000" w:rsidRDefault="00000000" w:rsidRPr="00000000" w14:paraId="00000067">
      <w:pPr>
        <w:spacing w:after="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Metodología que ayuda a identificar la posible causa raíz del problema mediante una lluvia de ideas para identificar todas las causas o componentes del problema desde diversas perspectivas, ayudando a tomar medidas correctivas y a actuar correctamente para resolver el problema. Esta se trata de clasificar cada causa o componente en un aspecto clave de donde proviene el problema que está relacionado con las 6M: mano de obra (man power), materiales (materials), métodos (methods), máquinas (machines), medición (measurment) o medio ambiente (mother nature).</w:t>
      </w:r>
    </w:p>
    <w:p w:rsidR="00000000" w:rsidDel="00000000" w:rsidP="00000000" w:rsidRDefault="00000000" w:rsidRPr="00000000" w14:paraId="00000068">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69">
      <w:pPr>
        <w:pStyle w:val="Heading3"/>
        <w:numPr>
          <w:ilvl w:val="2"/>
          <w:numId w:val="1"/>
        </w:numPr>
        <w:ind w:left="720" w:hanging="720"/>
        <w:rPr/>
      </w:pPr>
      <w:r w:rsidDel="00000000" w:rsidR="00000000" w:rsidRPr="00000000">
        <w:rPr>
          <w:rtl w:val="0"/>
        </w:rPr>
        <w:t xml:space="preserve">Elaboración del plan de acción</w:t>
      </w:r>
    </w:p>
    <w:p w:rsidR="00000000" w:rsidDel="00000000" w:rsidP="00000000" w:rsidRDefault="00000000" w:rsidRPr="00000000" w14:paraId="0000006A">
      <w:pPr>
        <w:spacing w:after="0" w:line="24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Una vez identificada la causa o causas del problema, se determinan las acciones que se tomarán para eliminar la no conformidad, definiendo responsables y fechas de cumplimiento en el formato “FR-SGI-001 PLAN DE ACCIÓN”, de allí se evaluará la viabilidad económica de las acciones propuestas, verificando si cumple con el objetivo de eliminar la no conformidad.</w:t>
      </w:r>
    </w:p>
    <w:p w:rsidR="00000000" w:rsidDel="00000000" w:rsidP="00000000" w:rsidRDefault="00000000" w:rsidRPr="00000000" w14:paraId="0000006B">
      <w:pPr>
        <w:spacing w:after="0" w:line="24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6C">
      <w:pPr>
        <w:spacing w:after="0" w:line="24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Cada proceso o área debe registrar todos los planes de acción generados en el formato “FR-SGI-0XX SEGUIMIENTO A PLANES DE ACCIÓN”, el seguimiento de los planes de acción abiertos se deberá realizar cada tres (3) meses por el Gestor de Talento Humano o Coordinador de Gestión Humana y SGI.</w:t>
      </w:r>
    </w:p>
    <w:p w:rsidR="00000000" w:rsidDel="00000000" w:rsidP="00000000" w:rsidRDefault="00000000" w:rsidRPr="00000000" w14:paraId="0000006D">
      <w:pPr>
        <w:spacing w:after="0" w:line="24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6E">
      <w:pPr>
        <w:spacing w:after="0" w:line="24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Una vez cerrados los planes de acción se diligenciará en los 2 formatos y se establece si la acción fue eficaz o no, es decir, se considera eficaz si se cerró antes o en la fecha propuesta y se considera que no es eficaz si se cierra después de la fecha propuesta o no se logra su cierre.</w:t>
      </w:r>
    </w:p>
    <w:p w:rsidR="00000000" w:rsidDel="00000000" w:rsidP="00000000" w:rsidRDefault="00000000" w:rsidRPr="00000000" w14:paraId="0000006F">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70">
      <w:pPr>
        <w:pStyle w:val="Heading3"/>
        <w:numPr>
          <w:ilvl w:val="2"/>
          <w:numId w:val="1"/>
        </w:numPr>
        <w:ind w:left="720" w:hanging="720"/>
        <w:rPr/>
      </w:pPr>
      <w:r w:rsidDel="00000000" w:rsidR="00000000" w:rsidRPr="00000000">
        <w:rPr>
          <w:rtl w:val="0"/>
        </w:rPr>
        <w:t xml:space="preserve">Cierre de los planes de acción</w:t>
      </w:r>
    </w:p>
    <w:p w:rsidR="00000000" w:rsidDel="00000000" w:rsidP="00000000" w:rsidRDefault="00000000" w:rsidRPr="00000000" w14:paraId="00000071">
      <w:pPr>
        <w:spacing w:after="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Para que una acción sea cerrada es necesario verificar el cumplimiento de las actividades establecidas incluyendo el cumplimiento de la fecha definida inicialmente para el cierre, así como la evaluación de la eficacia de las acciones emprendidas. De no cumplirse la totalidad de las actividades a la fecha programada o no se evidencie eficacia de la acción, se debe reprogramar la fecha de cierre y/o las actividades planteadas y de ser necesario establecer nuevas actividades que permitan evidenciar eficacia en la acción.</w:t>
      </w:r>
    </w:p>
    <w:p w:rsidR="00000000" w:rsidDel="00000000" w:rsidP="00000000" w:rsidRDefault="00000000" w:rsidRPr="00000000" w14:paraId="00000072">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73">
      <w:pPr>
        <w:spacing w:after="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Después de la ejecución y comprobación del “FR-SGI-001 PLAN DE ACCIÓN” este se debe cerrar indicando las observaciones y resultados obtenidos.</w:t>
      </w:r>
    </w:p>
    <w:p w:rsidR="00000000" w:rsidDel="00000000" w:rsidP="00000000" w:rsidRDefault="00000000" w:rsidRPr="00000000" w14:paraId="00000074">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75">
      <w:pPr>
        <w:spacing w:after="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Los planes de acción cerrados como eficaz, deben tener el visto bueno por el Gerente de Recursos e Infraestructura o del Gerente General.</w:t>
      </w:r>
    </w:p>
    <w:p w:rsidR="00000000" w:rsidDel="00000000" w:rsidP="00000000" w:rsidRDefault="00000000" w:rsidRPr="00000000" w14:paraId="00000076">
      <w:pPr>
        <w:spacing w:after="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77">
      <w:pPr>
        <w:spacing w:after="0" w:line="24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78">
      <w:pPr>
        <w:spacing w:after="0" w:line="24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En los casos en que una acción emprendida no sea eficaz, se revisarán nuevamente las causas, repitiendo el actual procedimiento.</w:t>
      </w:r>
    </w:p>
    <w:p w:rsidR="00000000" w:rsidDel="00000000" w:rsidP="00000000" w:rsidRDefault="00000000" w:rsidRPr="00000000" w14:paraId="00000079">
      <w:pPr>
        <w:spacing w:after="0" w:line="24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7A">
      <w:pPr>
        <w:pStyle w:val="Heading1"/>
        <w:numPr>
          <w:ilvl w:val="0"/>
          <w:numId w:val="1"/>
        </w:numPr>
        <w:ind w:left="432" w:hanging="432"/>
        <w:rPr/>
      </w:pPr>
      <w:r w:rsidDel="00000000" w:rsidR="00000000" w:rsidRPr="00000000">
        <w:rPr>
          <w:rtl w:val="0"/>
        </w:rPr>
        <w:t xml:space="preserve">CONTROL DE CAMBIOS</w:t>
      </w:r>
    </w:p>
    <w:tbl>
      <w:tblPr>
        <w:tblStyle w:val="Table1"/>
        <w:tblW w:w="9238.0" w:type="dxa"/>
        <w:jc w:val="center"/>
        <w:tblLayout w:type="fixed"/>
        <w:tblLook w:val="0400"/>
      </w:tblPr>
      <w:tblGrid>
        <w:gridCol w:w="1075"/>
        <w:gridCol w:w="1188"/>
        <w:gridCol w:w="2722"/>
        <w:gridCol w:w="1415"/>
        <w:gridCol w:w="1403"/>
        <w:gridCol w:w="1435"/>
        <w:tblGridChange w:id="0">
          <w:tblGrid>
            <w:gridCol w:w="1075"/>
            <w:gridCol w:w="1188"/>
            <w:gridCol w:w="2722"/>
            <w:gridCol w:w="1415"/>
            <w:gridCol w:w="1403"/>
            <w:gridCol w:w="1435"/>
          </w:tblGrid>
        </w:tblGridChange>
      </w:tblGrid>
      <w:tr>
        <w:trPr>
          <w:cantSplit w:val="0"/>
          <w:trHeight w:val="510" w:hRule="atLeast"/>
          <w:tblHeader w:val="1"/>
        </w:trPr>
        <w:tc>
          <w:tcPr>
            <w:tcBorders>
              <w:top w:color="000000" w:space="0" w:sz="4" w:val="single"/>
              <w:left w:color="000000" w:space="0" w:sz="4" w:val="single"/>
              <w:bottom w:color="000000" w:space="0" w:sz="4" w:val="single"/>
              <w:right w:color="000000" w:space="0" w:sz="4" w:val="single"/>
            </w:tcBorders>
            <w:shd w:fill="b8cce4" w:val="clear"/>
            <w:vAlign w:val="center"/>
          </w:tcPr>
          <w:p w:rsidR="00000000" w:rsidDel="00000000" w:rsidP="00000000" w:rsidRDefault="00000000" w:rsidRPr="00000000" w14:paraId="0000007B">
            <w:pPr>
              <w:spacing w:after="0" w:line="240"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VERSIÓN</w:t>
            </w:r>
          </w:p>
        </w:tc>
        <w:tc>
          <w:tcPr>
            <w:tcBorders>
              <w:top w:color="000000" w:space="0" w:sz="4" w:val="single"/>
              <w:left w:color="000000" w:space="0" w:sz="4" w:val="single"/>
              <w:bottom w:color="000000" w:space="0" w:sz="4" w:val="single"/>
              <w:right w:color="000000" w:space="0" w:sz="4" w:val="single"/>
            </w:tcBorders>
            <w:shd w:fill="b8cce4" w:val="clear"/>
            <w:vAlign w:val="center"/>
          </w:tcPr>
          <w:p w:rsidR="00000000" w:rsidDel="00000000" w:rsidP="00000000" w:rsidRDefault="00000000" w:rsidRPr="00000000" w14:paraId="0000007C">
            <w:pPr>
              <w:spacing w:after="0" w:line="240"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FECHA</w:t>
            </w:r>
          </w:p>
        </w:tc>
        <w:tc>
          <w:tcPr>
            <w:tcBorders>
              <w:top w:color="000000" w:space="0" w:sz="4" w:val="single"/>
              <w:left w:color="000000" w:space="0" w:sz="4" w:val="single"/>
              <w:bottom w:color="000000" w:space="0" w:sz="4" w:val="single"/>
              <w:right w:color="000000" w:space="0" w:sz="4" w:val="single"/>
            </w:tcBorders>
            <w:shd w:fill="b8cce4" w:val="clear"/>
            <w:vAlign w:val="center"/>
          </w:tcPr>
          <w:p w:rsidR="00000000" w:rsidDel="00000000" w:rsidP="00000000" w:rsidRDefault="00000000" w:rsidRPr="00000000" w14:paraId="0000007D">
            <w:pPr>
              <w:spacing w:after="0" w:line="240"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DESCRIPCIÓN DE CAMBIOS</w:t>
            </w:r>
          </w:p>
        </w:tc>
        <w:tc>
          <w:tcPr>
            <w:tcBorders>
              <w:top w:color="000000" w:space="0" w:sz="4" w:val="single"/>
              <w:left w:color="000000" w:space="0" w:sz="0" w:val="nil"/>
              <w:bottom w:color="000000" w:space="0" w:sz="4" w:val="single"/>
              <w:right w:color="000000" w:space="0" w:sz="4" w:val="single"/>
            </w:tcBorders>
            <w:shd w:fill="b8cce4" w:val="clear"/>
            <w:vAlign w:val="center"/>
          </w:tcPr>
          <w:p w:rsidR="00000000" w:rsidDel="00000000" w:rsidP="00000000" w:rsidRDefault="00000000" w:rsidRPr="00000000" w14:paraId="0000007E">
            <w:pPr>
              <w:spacing w:after="0" w:line="240"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ELABORADO POR</w:t>
            </w:r>
          </w:p>
        </w:tc>
        <w:tc>
          <w:tcPr>
            <w:tcBorders>
              <w:top w:color="000000" w:space="0" w:sz="4" w:val="single"/>
              <w:left w:color="000000" w:space="0" w:sz="0" w:val="nil"/>
              <w:bottom w:color="000000" w:space="0" w:sz="4" w:val="single"/>
              <w:right w:color="000000" w:space="0" w:sz="4" w:val="single"/>
            </w:tcBorders>
            <w:shd w:fill="b8cce4" w:val="clear"/>
            <w:vAlign w:val="center"/>
          </w:tcPr>
          <w:p w:rsidR="00000000" w:rsidDel="00000000" w:rsidP="00000000" w:rsidRDefault="00000000" w:rsidRPr="00000000" w14:paraId="0000007F">
            <w:pPr>
              <w:spacing w:after="0" w:line="240"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REVISADO POR</w:t>
            </w:r>
          </w:p>
        </w:tc>
        <w:tc>
          <w:tcPr>
            <w:tcBorders>
              <w:top w:color="000000" w:space="0" w:sz="4" w:val="single"/>
              <w:left w:color="000000" w:space="0" w:sz="0" w:val="nil"/>
              <w:bottom w:color="000000" w:space="0" w:sz="4" w:val="single"/>
              <w:right w:color="000000" w:space="0" w:sz="4" w:val="single"/>
            </w:tcBorders>
            <w:shd w:fill="b8cce4" w:val="clear"/>
            <w:vAlign w:val="center"/>
          </w:tcPr>
          <w:p w:rsidR="00000000" w:rsidDel="00000000" w:rsidP="00000000" w:rsidRDefault="00000000" w:rsidRPr="00000000" w14:paraId="00000080">
            <w:pPr>
              <w:spacing w:after="0" w:line="240"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APROBADO POR</w:t>
            </w:r>
          </w:p>
        </w:tc>
      </w:tr>
      <w:tr>
        <w:trPr>
          <w:cantSplit w:val="0"/>
          <w:trHeight w:val="567" w:hRule="atLeast"/>
          <w:tblHeader w:val="0"/>
        </w:trPr>
        <w:tc>
          <w:tcPr>
            <w:tcBorders>
              <w:top w:color="000000" w:space="0" w:sz="4" w:val="single"/>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081">
            <w:pPr>
              <w:spacing w:after="0" w:line="24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01</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2">
            <w:pPr>
              <w:spacing w:after="0" w:line="24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24/09/2020</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3">
            <w:pPr>
              <w:spacing w:after="0" w:line="24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Elaboración</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4">
            <w:pPr>
              <w:spacing w:after="0" w:line="24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YINNETH PINZON</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5">
            <w:pPr>
              <w:spacing w:after="0" w:line="24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FELIPE MARTINEZ</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6">
            <w:pPr>
              <w:spacing w:after="0" w:line="24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MARIA CIFUENTES</w:t>
            </w:r>
          </w:p>
        </w:tc>
      </w:tr>
      <w:tr>
        <w:trPr>
          <w:cantSplit w:val="0"/>
          <w:trHeight w:val="567" w:hRule="atLeast"/>
          <w:tblHeader w:val="0"/>
        </w:trPr>
        <w:tc>
          <w:tcPr>
            <w:tcBorders>
              <w:top w:color="000000" w:space="0" w:sz="4" w:val="single"/>
              <w:left w:color="000000" w:space="0" w:sz="8" w:val="single"/>
              <w:bottom w:color="000000" w:space="0" w:sz="4" w:val="single"/>
              <w:right w:color="000000" w:space="0" w:sz="4" w:val="single"/>
            </w:tcBorders>
            <w:shd w:fill="ffffff" w:val="clear"/>
            <w:vAlign w:val="center"/>
          </w:tcPr>
          <w:p w:rsidR="00000000" w:rsidDel="00000000" w:rsidP="00000000" w:rsidRDefault="00000000" w:rsidRPr="00000000" w14:paraId="00000087">
            <w:pPr>
              <w:spacing w:after="0" w:line="24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02</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8">
            <w:pPr>
              <w:spacing w:after="0" w:line="24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20/03/2025</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9">
            <w:pPr>
              <w:spacing w:after="0" w:line="24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Se incluyen definiciones de: desempeño, eficacia, eficiencia, mejora, no conformidad, oportunidad de mejora, revisión y seguimiento</w:t>
            </w:r>
          </w:p>
          <w:p w:rsidR="00000000" w:rsidDel="00000000" w:rsidP="00000000" w:rsidRDefault="00000000" w:rsidRPr="00000000" w14:paraId="0000008A">
            <w:pPr>
              <w:spacing w:after="0" w:line="24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Actualización de todo el procedimiento de acuerdo a la actualización y creación de formatos.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B">
            <w:pPr>
              <w:spacing w:after="0" w:line="24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Equipo de Consultoría - Maestría en Calidad y Sistemas Integrados de Gestión (Erika Parra, Luisa Torres y Felipe Parada)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C">
            <w:pPr>
              <w:spacing w:after="0" w:line="24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Diana Catalina Londoño (directora del Trabajo de Grado)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8D">
            <w:pPr>
              <w:spacing w:after="0" w:line="24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María Cifuentes (Gerente General)</w:t>
            </w:r>
          </w:p>
        </w:tc>
      </w:tr>
    </w:tbl>
    <w:p w:rsidR="00000000" w:rsidDel="00000000" w:rsidP="00000000" w:rsidRDefault="00000000" w:rsidRPr="00000000" w14:paraId="0000008E">
      <w:pPr>
        <w:spacing w:after="0" w:line="240" w:lineRule="auto"/>
        <w:jc w:val="both"/>
        <w:rPr>
          <w:rFonts w:ascii="Tahoma" w:cs="Tahoma" w:eastAsia="Tahoma" w:hAnsi="Tahoma"/>
          <w:sz w:val="20"/>
          <w:szCs w:val="20"/>
        </w:rPr>
      </w:pPr>
      <w:r w:rsidDel="00000000" w:rsidR="00000000" w:rsidRPr="00000000">
        <w:rPr>
          <w:rtl w:val="0"/>
        </w:rPr>
      </w:r>
    </w:p>
    <w:sectPr>
      <w:headerReference r:id="rId8" w:type="default"/>
      <w:footerReference r:id="rId9" w:type="default"/>
      <w:pgSz w:h="15840" w:w="12240" w:orient="portrait"/>
      <w:pgMar w:bottom="1134" w:top="1134" w:left="1418"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rFonts w:ascii="Tahoma" w:cs="Tahoma" w:eastAsia="Tahoma" w:hAnsi="Tahoma"/>
        <w:color w:val="000000"/>
        <w:sz w:val="20"/>
        <w:szCs w:val="20"/>
      </w:rPr>
    </w:pPr>
    <w:r w:rsidDel="00000000" w:rsidR="00000000" w:rsidRPr="00000000">
      <w:rPr>
        <w:rFonts w:ascii="Tahoma" w:cs="Tahoma" w:eastAsia="Tahoma" w:hAnsi="Tahoma"/>
        <w:sz w:val="20"/>
        <w:szCs w:val="20"/>
        <w:rtl w:val="0"/>
      </w:rPr>
      <w:t xml:space="preserve">Página </w:t>
    </w:r>
    <w:r w:rsidDel="00000000" w:rsidR="00000000" w:rsidRPr="00000000">
      <w:rPr>
        <w:rFonts w:ascii="Tahoma" w:cs="Tahoma" w:eastAsia="Tahoma" w:hAnsi="Tahoma"/>
        <w:b w:val="1"/>
        <w:sz w:val="20"/>
        <w:szCs w:val="20"/>
      </w:rPr>
      <w:fldChar w:fldCharType="begin"/>
      <w:instrText xml:space="preserve">PAGE</w:instrText>
      <w:fldChar w:fldCharType="separate"/>
      <w:fldChar w:fldCharType="end"/>
    </w:r>
    <w:r w:rsidDel="00000000" w:rsidR="00000000" w:rsidRPr="00000000">
      <w:rPr>
        <w:rFonts w:ascii="Tahoma" w:cs="Tahoma" w:eastAsia="Tahoma" w:hAnsi="Tahoma"/>
        <w:sz w:val="20"/>
        <w:szCs w:val="20"/>
        <w:rtl w:val="0"/>
      </w:rPr>
      <w:t xml:space="preserve"> de </w:t>
    </w:r>
    <w:r w:rsidDel="00000000" w:rsidR="00000000" w:rsidRPr="00000000">
      <w:rPr>
        <w:rFonts w:ascii="Tahoma" w:cs="Tahoma" w:eastAsia="Tahoma" w:hAnsi="Tahoma"/>
        <w:b w:val="1"/>
        <w:sz w:val="20"/>
        <w:szCs w:val="2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pacing w:after="0" w:line="276" w:lineRule="auto"/>
      <w:rPr>
        <w:rFonts w:ascii="Tahoma" w:cs="Tahoma" w:eastAsia="Tahoma" w:hAnsi="Tahoma"/>
        <w:sz w:val="20"/>
        <w:szCs w:val="20"/>
      </w:rPr>
    </w:pPr>
    <w:r w:rsidDel="00000000" w:rsidR="00000000" w:rsidRPr="00000000">
      <w:rPr>
        <w:rtl w:val="0"/>
      </w:rPr>
    </w:r>
  </w:p>
  <w:tbl>
    <w:tblPr>
      <w:tblStyle w:val="Table2"/>
      <w:tblW w:w="99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6"/>
      <w:gridCol w:w="5285"/>
      <w:gridCol w:w="2593"/>
      <w:tblGridChange w:id="0">
        <w:tblGrid>
          <w:gridCol w:w="2026"/>
          <w:gridCol w:w="5285"/>
          <w:gridCol w:w="2593"/>
        </w:tblGrid>
      </w:tblGridChange>
    </w:tblGrid>
    <w:tr>
      <w:trPr>
        <w:cantSplit w:val="0"/>
        <w:tblHeader w:val="0"/>
      </w:trPr>
      <w:tc>
        <w:tcPr>
          <w:vMerge w:val="restart"/>
          <w:vAlign w:val="center"/>
        </w:tcPr>
        <w:p w:rsidR="00000000" w:rsidDel="00000000" w:rsidP="00000000" w:rsidRDefault="00000000" w:rsidRPr="00000000" w14:paraId="00000090">
          <w:pPr>
            <w:jc w:val="center"/>
            <w:rPr>
              <w:rFonts w:ascii="Tahoma" w:cs="Tahoma" w:eastAsia="Tahoma" w:hAnsi="Tahoma"/>
            </w:rPr>
          </w:pPr>
          <w:r w:rsidDel="00000000" w:rsidR="00000000" w:rsidRPr="00000000">
            <w:rPr/>
            <w:drawing>
              <wp:inline distB="0" distT="0" distL="0" distR="0">
                <wp:extent cx="1033385" cy="595825"/>
                <wp:effectExtent b="0" l="0" r="0" t="0"/>
                <wp:docPr id="29" name="image1.jpg"/>
                <a:graphic>
                  <a:graphicData uri="http://schemas.openxmlformats.org/drawingml/2006/picture">
                    <pic:pic>
                      <pic:nvPicPr>
                        <pic:cNvPr id="0" name="image1.jpg"/>
                        <pic:cNvPicPr preferRelativeResize="0"/>
                      </pic:nvPicPr>
                      <pic:blipFill>
                        <a:blip r:embed="rId1"/>
                        <a:srcRect b="11313" l="0" r="0" t="14069"/>
                        <a:stretch>
                          <a:fillRect/>
                        </a:stretch>
                      </pic:blipFill>
                      <pic:spPr>
                        <a:xfrm>
                          <a:off x="0" y="0"/>
                          <a:ext cx="1033385" cy="595825"/>
                        </a:xfrm>
                        <a:prstGeom prst="rect"/>
                        <a:ln/>
                      </pic:spPr>
                    </pic:pic>
                  </a:graphicData>
                </a:graphic>
              </wp:inline>
            </w:drawing>
          </w:r>
          <w:r w:rsidDel="00000000" w:rsidR="00000000" w:rsidRPr="00000000">
            <w:rPr>
              <w:rtl w:val="0"/>
            </w:rPr>
          </w:r>
        </w:p>
      </w:tc>
      <w:tc>
        <w:tcPr>
          <w:vMerge w:val="restart"/>
          <w:vAlign w:val="center"/>
        </w:tcPr>
        <w:p w:rsidR="00000000" w:rsidDel="00000000" w:rsidP="00000000" w:rsidRDefault="00000000" w:rsidRPr="00000000" w14:paraId="00000091">
          <w:pPr>
            <w:jc w:val="center"/>
            <w:rPr>
              <w:rFonts w:ascii="Tahoma" w:cs="Tahoma" w:eastAsia="Tahoma" w:hAnsi="Tahoma"/>
              <w:sz w:val="24"/>
              <w:szCs w:val="24"/>
            </w:rPr>
          </w:pPr>
          <w:r w:rsidDel="00000000" w:rsidR="00000000" w:rsidRPr="00000000">
            <w:rPr>
              <w:rFonts w:ascii="Tahoma" w:cs="Tahoma" w:eastAsia="Tahoma" w:hAnsi="Tahoma"/>
              <w:b w:val="1"/>
              <w:sz w:val="24"/>
              <w:szCs w:val="24"/>
              <w:rtl w:val="0"/>
            </w:rPr>
            <w:t xml:space="preserve">ACCIONES CORRECTIVAS </w:t>
          </w:r>
          <w:r w:rsidDel="00000000" w:rsidR="00000000" w:rsidRPr="00000000">
            <w:rPr>
              <w:rtl w:val="0"/>
            </w:rPr>
          </w:r>
        </w:p>
      </w:tc>
      <w:tc>
        <w:tcPr/>
        <w:p w:rsidR="00000000" w:rsidDel="00000000" w:rsidP="00000000" w:rsidRDefault="00000000" w:rsidRPr="00000000" w14:paraId="00000092">
          <w:pPr>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PR-SGI-008</w:t>
          </w:r>
        </w:p>
      </w:tc>
    </w:tr>
    <w:tr>
      <w:trPr>
        <w:cantSplit w:val="0"/>
        <w:trHeight w:val="69" w:hRule="atLeast"/>
        <w:tblHeader w:val="0"/>
      </w:trPr>
      <w:tc>
        <w:tcPr>
          <w:vMerge w:val="continue"/>
          <w:vAlign w:val="cente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1"/>
              <w:sz w:val="20"/>
              <w:szCs w:val="20"/>
            </w:rPr>
          </w:pPr>
          <w:r w:rsidDel="00000000" w:rsidR="00000000" w:rsidRPr="00000000">
            <w:rPr>
              <w:rtl w:val="0"/>
            </w:rPr>
          </w:r>
        </w:p>
      </w:tc>
      <w:tc>
        <w:tcPr>
          <w:vMerge w:val="continue"/>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1"/>
              <w:sz w:val="20"/>
              <w:szCs w:val="20"/>
            </w:rPr>
          </w:pPr>
          <w:r w:rsidDel="00000000" w:rsidR="00000000" w:rsidRPr="00000000">
            <w:rPr>
              <w:rtl w:val="0"/>
            </w:rPr>
          </w:r>
        </w:p>
      </w:tc>
      <w:tc>
        <w:tcPr/>
        <w:p w:rsidR="00000000" w:rsidDel="00000000" w:rsidP="00000000" w:rsidRDefault="00000000" w:rsidRPr="00000000" w14:paraId="00000095">
          <w:pPr>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Versión: 02</w:t>
          </w:r>
        </w:p>
      </w:tc>
    </w:tr>
    <w:tr>
      <w:trPr>
        <w:cantSplit w:val="0"/>
        <w:trHeight w:val="69" w:hRule="atLeast"/>
        <w:tblHeader w:val="0"/>
      </w:trPr>
      <w:tc>
        <w:tcPr>
          <w:vMerge w:val="continue"/>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vMerge w:val="continue"/>
          <w:vAlign w:val="cente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c>
      <w:tc>
        <w:tcPr/>
        <w:p w:rsidR="00000000" w:rsidDel="00000000" w:rsidP="00000000" w:rsidRDefault="00000000" w:rsidRPr="00000000" w14:paraId="00000098">
          <w:pPr>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Fecha de actualización:</w:t>
          </w:r>
        </w:p>
        <w:p w:rsidR="00000000" w:rsidDel="00000000" w:rsidP="00000000" w:rsidRDefault="00000000" w:rsidRPr="00000000" w14:paraId="00000099">
          <w:pPr>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20/03/2025</w:t>
          </w:r>
        </w:p>
      </w:tc>
    </w:tr>
  </w:tbl>
  <w:p w:rsidR="00000000" w:rsidDel="00000000" w:rsidP="00000000" w:rsidRDefault="00000000" w:rsidRPr="00000000" w14:paraId="0000009A">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sz w:val="10"/>
        <w:szCs w:val="1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432" w:hanging="432"/>
      <w:jc w:val="both"/>
    </w:pPr>
    <w:rPr>
      <w:rFonts w:ascii="Tahoma" w:cs="Tahoma" w:eastAsia="Tahoma" w:hAnsi="Tahoma"/>
      <w:b w:val="1"/>
      <w:sz w:val="20"/>
      <w:szCs w:val="20"/>
    </w:rPr>
  </w:style>
  <w:style w:type="paragraph" w:styleId="Heading2">
    <w:name w:val="heading 2"/>
    <w:basedOn w:val="Normal"/>
    <w:next w:val="Normal"/>
    <w:pPr>
      <w:ind w:left="432" w:hanging="432"/>
      <w:jc w:val="both"/>
    </w:pPr>
    <w:rPr>
      <w:rFonts w:ascii="Tahoma" w:cs="Tahoma" w:eastAsia="Tahoma" w:hAnsi="Tahoma"/>
      <w:b w:val="1"/>
      <w:sz w:val="20"/>
      <w:szCs w:val="20"/>
    </w:rPr>
  </w:style>
  <w:style w:type="paragraph" w:styleId="Heading3">
    <w:name w:val="heading 3"/>
    <w:basedOn w:val="Normal"/>
    <w:next w:val="Normal"/>
    <w:pPr>
      <w:ind w:left="432" w:hanging="432"/>
      <w:jc w:val="both"/>
    </w:pPr>
    <w:rPr>
      <w:rFonts w:ascii="Tahoma" w:cs="Tahoma" w:eastAsia="Tahoma" w:hAnsi="Tahoma"/>
      <w:b w:val="1"/>
      <w:sz w:val="20"/>
      <w:szCs w:val="20"/>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Ttulo1">
    <w:name w:val="heading 1"/>
    <w:basedOn w:val="Normal"/>
    <w:next w:val="Normal"/>
    <w:uiPriority w:val="9"/>
    <w:qFormat w:val="1"/>
    <w:rsid w:val="004C2A8E"/>
    <w:pPr>
      <w:numPr>
        <w:numId w:val="4"/>
      </w:numPr>
      <w:jc w:val="both"/>
      <w:outlineLvl w:val="0"/>
    </w:pPr>
    <w:rPr>
      <w:rFonts w:ascii="Tahoma" w:cs="Tahoma" w:eastAsia="Tahoma" w:hAnsi="Tahoma"/>
      <w:b w:val="1"/>
      <w:sz w:val="20"/>
      <w:szCs w:val="20"/>
    </w:rPr>
  </w:style>
  <w:style w:type="paragraph" w:styleId="Ttulo2">
    <w:name w:val="heading 2"/>
    <w:basedOn w:val="Ttulo1"/>
    <w:next w:val="Normal"/>
    <w:uiPriority w:val="9"/>
    <w:unhideWhenUsed w:val="1"/>
    <w:qFormat w:val="1"/>
    <w:rsid w:val="004C2A8E"/>
    <w:pPr>
      <w:numPr>
        <w:ilvl w:val="1"/>
      </w:numPr>
      <w:outlineLvl w:val="1"/>
    </w:pPr>
  </w:style>
  <w:style w:type="paragraph" w:styleId="Ttulo3">
    <w:name w:val="heading 3"/>
    <w:basedOn w:val="Ttulo2"/>
    <w:next w:val="Normal"/>
    <w:uiPriority w:val="9"/>
    <w:unhideWhenUsed w:val="1"/>
    <w:qFormat w:val="1"/>
    <w:rsid w:val="00FF031B"/>
    <w:pPr>
      <w:numPr>
        <w:ilvl w:val="2"/>
      </w:numPr>
      <w:outlineLvl w:val="2"/>
    </w:p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paragraph" w:styleId="Encabezado">
    <w:name w:val="header"/>
    <w:basedOn w:val="Normal"/>
    <w:link w:val="EncabezadoCar"/>
    <w:uiPriority w:val="99"/>
    <w:unhideWhenUsed w:val="1"/>
    <w:rsid w:val="00AD67C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AD67C4"/>
  </w:style>
  <w:style w:type="paragraph" w:styleId="Piedepgina">
    <w:name w:val="footer"/>
    <w:basedOn w:val="Normal"/>
    <w:link w:val="PiedepginaCar"/>
    <w:uiPriority w:val="99"/>
    <w:unhideWhenUsed w:val="1"/>
    <w:rsid w:val="00AD67C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AD67C4"/>
  </w:style>
  <w:style w:type="table" w:styleId="Tablaconcuadrcula">
    <w:name w:val="Table Grid"/>
    <w:basedOn w:val="Tablanormal"/>
    <w:uiPriority w:val="59"/>
    <w:rsid w:val="00AD67C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AD67C4"/>
    <w:pPr>
      <w:spacing w:after="100" w:afterAutospacing="1" w:before="100" w:beforeAutospacing="1" w:line="240" w:lineRule="auto"/>
    </w:pPr>
    <w:rPr>
      <w:rFonts w:ascii="Times New Roman" w:cs="Times New Roman" w:eastAsia="Times New Roman" w:hAnsi="Times New Roman"/>
      <w:sz w:val="24"/>
      <w:szCs w:val="24"/>
    </w:rPr>
  </w:style>
  <w:style w:type="paragraph" w:styleId="Textodeglobo">
    <w:name w:val="Balloon Text"/>
    <w:basedOn w:val="Normal"/>
    <w:link w:val="TextodegloboCar"/>
    <w:uiPriority w:val="99"/>
    <w:semiHidden w:val="1"/>
    <w:unhideWhenUsed w:val="1"/>
    <w:rsid w:val="00936691"/>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936691"/>
    <w:rPr>
      <w:rFonts w:ascii="Tahoma" w:cs="Tahoma" w:hAnsi="Tahoma"/>
      <w:sz w:val="16"/>
      <w:szCs w:val="16"/>
    </w:rPr>
  </w:style>
  <w:style w:type="paragraph" w:styleId="Predeterminado" w:customStyle="1">
    <w:name w:val="Predeterminado"/>
    <w:rsid w:val="00936691"/>
    <w:pPr>
      <w:autoSpaceDE w:val="0"/>
      <w:autoSpaceDN w:val="0"/>
      <w:adjustRightInd w:val="0"/>
      <w:spacing w:after="0" w:line="200" w:lineRule="atLeast"/>
    </w:pPr>
    <w:rPr>
      <w:rFonts w:ascii="Mangal" w:cs="Mangal" w:eastAsia="Microsoft YaHei" w:hAnsi="Mangal"/>
      <w:color w:val="ffffff"/>
      <w:kern w:val="1"/>
      <w:sz w:val="36"/>
      <w:szCs w:val="36"/>
    </w:rPr>
  </w:style>
  <w:style w:type="paragraph" w:styleId="Prrafodelista">
    <w:name w:val="List Paragraph"/>
    <w:basedOn w:val="Normal"/>
    <w:uiPriority w:val="34"/>
    <w:qFormat w:val="1"/>
    <w:rsid w:val="00936691"/>
    <w:pPr>
      <w:ind w:left="720"/>
      <w:contextualSpacing w:val="1"/>
    </w:pPr>
  </w:style>
  <w:style w:type="paragraph" w:styleId="blue1" w:customStyle="1">
    <w:name w:val="blue1"/>
    <w:basedOn w:val="Normal"/>
    <w:uiPriority w:val="99"/>
    <w:rsid w:val="00EF5F71"/>
    <w:pPr>
      <w:autoSpaceDE w:val="0"/>
      <w:autoSpaceDN w:val="0"/>
      <w:adjustRightInd w:val="0"/>
      <w:spacing w:after="0" w:line="200" w:lineRule="atLeast"/>
    </w:pPr>
    <w:rPr>
      <w:rFonts w:ascii="Mangal" w:cs="Mangal" w:eastAsia="Microsoft YaHei" w:hAnsi="Mangal"/>
      <w:color w:val="ffffff"/>
      <w:kern w:val="1"/>
      <w:sz w:val="36"/>
      <w:szCs w:val="36"/>
    </w:r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CellMar>
        <w:left w:w="108.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sUYxsSj6xmkpt0FDErndEfKMCA==">CgMxLjA4AHIhMVRzUmYxZ0xicWctMlJmZnJaa1N0RWFDQVE2UjNoRVJm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2025-03-29T15:51:00Z</dcterms:created>
  <dc:creator>Andres Ivan Alarcon Ariza</dc:creator>
</cp:coreProperties>
</file>