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48bedf45250748bb" /><Relationship Type="http://schemas.openxmlformats.org/package/2006/relationships/metadata/core-properties" Target="/package/services/metadata/core-properties/8b6de2781ada4a27af198cd9fcc3cd2e.psmdcp" Id="Re2d3b6a127804143"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spacing w:line="480" w:lineRule="auto"/>
        <w:ind w:left="708" w:hanging="708"/>
        <w:jc w:val="center"/>
        <w:rPr>
          <w:rFonts w:ascii="Arial" w:hAnsi="Arial" w:eastAsia="Arial" w:cs="Arial"/>
          <w:b w:val="1"/>
          <w:color w:val="0d0d0d"/>
          <w:sz w:val="24"/>
          <w:szCs w:val="24"/>
          <w:u w:val="single"/>
        </w:rPr>
      </w:pPr>
      <w:r w:rsidRPr="00000000" w:rsidDel="00000000" w:rsidR="00000000">
        <w:rPr>
          <w:rtl w:val="0"/>
        </w:rPr>
      </w:r>
    </w:p>
    <w:p xmlns:wp14="http://schemas.microsoft.com/office/word/2010/wordml" w:rsidRPr="00000000" w:rsidR="00000000" w:rsidDel="00000000" w:rsidP="36BC6A4D" w:rsidRDefault="00000000" w14:paraId="00000002" wp14:textId="77777777">
      <w:pPr>
        <w:spacing w:line="480" w:lineRule="auto"/>
        <w:jc w:val="center"/>
        <w:rPr>
          <w:rFonts w:ascii="Arial" w:hAnsi="Arial" w:eastAsia="Arial" w:cs="Arial"/>
          <w:b w:val="1"/>
          <w:bCs w:val="1"/>
          <w:color w:val="0d0d0d"/>
          <w:sz w:val="24"/>
          <w:szCs w:val="24"/>
          <w:u w:val="none"/>
        </w:rPr>
      </w:pPr>
      <w:r w:rsidRPr="36BC6A4D" w:rsidR="36BC6A4D">
        <w:rPr>
          <w:rFonts w:ascii="Arial" w:hAnsi="Arial" w:eastAsia="Arial" w:cs="Arial"/>
          <w:b w:val="1"/>
          <w:bCs w:val="1"/>
          <w:color w:val="0D0D0D" w:themeColor="text1" w:themeTint="F2" w:themeShade="FF"/>
          <w:sz w:val="24"/>
          <w:szCs w:val="24"/>
          <w:u w:val="none"/>
        </w:rPr>
        <w:t>IMPLICACIONES SIMBÓLICAS DE LA ETIQUETA EN EL DELINCUENTE</w:t>
      </w:r>
      <w:r w:rsidRPr="36BC6A4D" w:rsidR="36BC6A4D">
        <w:rPr>
          <w:rFonts w:ascii="Arial" w:hAnsi="Arial" w:eastAsia="Arial" w:cs="Arial"/>
          <w:b w:val="1"/>
          <w:bCs w:val="1"/>
          <w:color w:val="0D0D0D" w:themeColor="text1" w:themeTint="F2" w:themeShade="FF"/>
          <w:sz w:val="24"/>
          <w:szCs w:val="24"/>
          <w:u w:val="single"/>
        </w:rPr>
        <w:t xml:space="preserve">   </w:t>
      </w:r>
    </w:p>
    <w:p xmlns:wp14="http://schemas.microsoft.com/office/word/2010/wordml" w:rsidRPr="00000000" w:rsidR="00000000" w:rsidDel="00000000" w:rsidP="00000000" w:rsidRDefault="00000000" w14:paraId="00000003" wp14:textId="77777777">
      <w:pPr>
        <w:spacing w:line="480" w:lineRule="auto"/>
        <w:jc w:val="right"/>
        <w:rPr>
          <w:rFonts w:ascii="Arial" w:hAnsi="Arial" w:eastAsia="Arial" w:cs="Arial"/>
          <w:b w:val="1"/>
          <w:color w:val="0d0d0d"/>
          <w:sz w:val="24"/>
          <w:szCs w:val="24"/>
        </w:rPr>
      </w:pPr>
      <w:r w:rsidRPr="00000000" w:rsidDel="00000000" w:rsidR="00000000">
        <w:rPr>
          <w:rFonts w:ascii="Arial" w:hAnsi="Arial" w:eastAsia="Arial" w:cs="Arial"/>
          <w:b w:val="1"/>
          <w:color w:val="0d0d0d"/>
          <w:sz w:val="24"/>
          <w:szCs w:val="24"/>
          <w:rtl w:val="0"/>
        </w:rPr>
        <w:t xml:space="preserve">Ana María Rubio Suárez</w:t>
      </w:r>
      <w:r w:rsidRPr="00000000" w:rsidDel="00000000" w:rsidR="00000000">
        <w:rPr>
          <w:rFonts w:ascii="Arial" w:hAnsi="Arial" w:eastAsia="Arial" w:cs="Arial"/>
          <w:b w:val="1"/>
          <w:color w:val="0d0d0d"/>
          <w:sz w:val="24"/>
          <w:szCs w:val="24"/>
          <w:vertAlign w:val="superscript"/>
        </w:rPr>
        <w:footnoteReference w:customMarkFollows="0" w:id="0"/>
      </w:r>
      <w:r w:rsidRPr="00000000" w:rsidDel="00000000" w:rsidR="00000000">
        <w:rPr>
          <w:rtl w:val="0"/>
        </w:rPr>
      </w:r>
    </w:p>
    <w:p xmlns:wp14="http://schemas.microsoft.com/office/word/2010/wordml" w:rsidRPr="00000000" w:rsidR="00000000" w:rsidDel="00000000" w:rsidP="00000000" w:rsidRDefault="00000000" w14:paraId="00000004" wp14:textId="77777777">
      <w:pPr>
        <w:spacing w:line="480" w:lineRule="auto"/>
        <w:jc w:val="right"/>
        <w:rPr>
          <w:rFonts w:ascii="Arial" w:hAnsi="Arial" w:eastAsia="Arial" w:cs="Arial"/>
          <w:b w:val="1"/>
          <w:color w:val="0d0d0d"/>
        </w:rPr>
      </w:pPr>
      <w:r w:rsidRPr="00000000" w:rsidDel="00000000" w:rsidR="00000000">
        <w:rPr>
          <w:rFonts w:ascii="Arial" w:hAnsi="Arial" w:eastAsia="Arial" w:cs="Arial"/>
          <w:b w:val="1"/>
          <w:color w:val="0d0d0d"/>
          <w:rtl w:val="0"/>
        </w:rPr>
        <w:t xml:space="preserve">“Los pobres ocupan también, casi siempre, el primer plano de la crónica policial. Cualquier sospechoso pobre puede ser impunemente filmado y fotografiado y escrachado cuando la policía lo detiene, y así la tele y los diarios dictan sentencia antes de que se le abra un proceso. Los medios de comunicación condenan de antemano, y sin apelación, a los pobres peligrosos.”</w:t>
      </w:r>
    </w:p>
    <w:p xmlns:wp14="http://schemas.microsoft.com/office/word/2010/wordml" w:rsidRPr="00000000" w:rsidR="00000000" w:rsidDel="00000000" w:rsidP="1F7231C4" w:rsidRDefault="00000000" w14:paraId="00000005" wp14:textId="77777777">
      <w:pPr>
        <w:spacing w:line="480" w:lineRule="auto"/>
        <w:jc w:val="right"/>
        <w:rPr>
          <w:rFonts w:ascii="Arial" w:hAnsi="Arial" w:eastAsia="Arial" w:cs="Arial"/>
          <w:b w:val="1"/>
          <w:bCs w:val="1"/>
          <w:color w:val="0d0d0d"/>
        </w:rPr>
      </w:pPr>
      <w:r w:rsidRPr="1F7231C4" w:rsidR="1F7231C4">
        <w:rPr>
          <w:rFonts w:ascii="Arial" w:hAnsi="Arial" w:eastAsia="Arial" w:cs="Arial"/>
          <w:b w:val="1"/>
          <w:bCs w:val="1"/>
          <w:color w:val="0D0D0D" w:themeColor="text1" w:themeTint="F2" w:themeShade="FF"/>
        </w:rPr>
        <w:t xml:space="preserve">Eduardo Galeano </w:t>
      </w:r>
    </w:p>
    <w:p w:rsidR="1F7231C4" w:rsidP="1F7231C4" w:rsidRDefault="1F7231C4" w14:paraId="4A8F0467" w14:textId="00B096AF">
      <w:pPr>
        <w:pStyle w:val="Normal"/>
        <w:spacing w:line="480" w:lineRule="auto"/>
        <w:jc w:val="right"/>
        <w:rPr>
          <w:rFonts w:ascii="Arial" w:hAnsi="Arial" w:eastAsia="Arial" w:cs="Arial"/>
          <w:b w:val="1"/>
          <w:bCs w:val="1"/>
          <w:color w:val="0D0D0D" w:themeColor="text1" w:themeTint="F2" w:themeShade="FF"/>
          <w:rtl w:val="0"/>
        </w:rPr>
      </w:pPr>
    </w:p>
    <w:p w:rsidR="1F7231C4" w:rsidP="1F7231C4" w:rsidRDefault="1F7231C4" w14:paraId="4237A41E" w14:textId="5AE57579">
      <w:pPr>
        <w:pStyle w:val="Normal"/>
        <w:spacing w:line="480" w:lineRule="auto"/>
        <w:jc w:val="left"/>
        <w:rPr>
          <w:rFonts w:ascii="Arial" w:hAnsi="Arial" w:eastAsia="Arial" w:cs="Arial"/>
          <w:b w:val="1"/>
          <w:bCs w:val="1"/>
          <w:color w:val="0D0D0D" w:themeColor="text1" w:themeTint="F2" w:themeShade="FF"/>
          <w:sz w:val="24"/>
          <w:szCs w:val="24"/>
          <w:rtl w:val="0"/>
        </w:rPr>
      </w:pPr>
      <w:r w:rsidRPr="1F7231C4" w:rsidR="1F7231C4">
        <w:rPr>
          <w:rFonts w:ascii="Arial" w:hAnsi="Arial" w:eastAsia="Arial" w:cs="Arial"/>
          <w:b w:val="1"/>
          <w:bCs w:val="1"/>
          <w:color w:val="0D0D0D" w:themeColor="text1" w:themeTint="F2" w:themeShade="FF"/>
          <w:sz w:val="24"/>
          <w:szCs w:val="24"/>
        </w:rPr>
        <w:t>Resumen:</w:t>
      </w:r>
    </w:p>
    <w:p w:rsidR="1F7231C4" w:rsidP="1F7231C4" w:rsidRDefault="1F7231C4" w14:paraId="3B901217" w14:textId="29BD5917">
      <w:pPr>
        <w:pStyle w:val="Normal"/>
        <w:spacing w:line="480" w:lineRule="auto"/>
        <w:jc w:val="both"/>
        <w:rPr>
          <w:rFonts w:ascii="Arial" w:hAnsi="Arial" w:eastAsia="Arial" w:cs="Arial"/>
          <w:color w:val="0D0D0D" w:themeColor="text1" w:themeTint="F2" w:themeShade="FF"/>
          <w:sz w:val="24"/>
          <w:szCs w:val="24"/>
          <w:highlight w:val="white"/>
          <w:rtl w:val="0"/>
        </w:rPr>
      </w:pPr>
      <w:r w:rsidRPr="1F7231C4" w:rsidR="1F7231C4">
        <w:rPr>
          <w:rFonts w:ascii="Arial" w:hAnsi="Arial" w:eastAsia="Arial" w:cs="Arial"/>
          <w:b w:val="0"/>
          <w:bCs w:val="0"/>
          <w:color w:val="0D0D0D" w:themeColor="text1" w:themeTint="F2" w:themeShade="FF"/>
          <w:sz w:val="24"/>
          <w:szCs w:val="24"/>
        </w:rPr>
        <w:t>El presente artículo a</w:t>
      </w:r>
      <w:r w:rsidRPr="1F7231C4" w:rsidR="1F7231C4">
        <w:rPr>
          <w:rFonts w:ascii="Arial" w:hAnsi="Arial" w:eastAsia="Arial" w:cs="Arial"/>
          <w:color w:val="0D0D0D" w:themeColor="text1" w:themeTint="F2" w:themeShade="FF"/>
          <w:sz w:val="24"/>
          <w:szCs w:val="24"/>
        </w:rPr>
        <w:t xml:space="preserve">naliza el caso del “niño sicario”, ocurrido en Colombia, en el año 2020, por medio de la teoría del </w:t>
      </w:r>
      <w:proofErr w:type="spellStart"/>
      <w:r w:rsidRPr="1F7231C4" w:rsidR="1F7231C4">
        <w:rPr>
          <w:rFonts w:ascii="Arial" w:hAnsi="Arial" w:eastAsia="Arial" w:cs="Arial"/>
          <w:color w:val="0D0D0D" w:themeColor="text1" w:themeTint="F2" w:themeShade="FF"/>
          <w:sz w:val="24"/>
          <w:szCs w:val="24"/>
        </w:rPr>
        <w:t>labeling</w:t>
      </w:r>
      <w:proofErr w:type="spellEnd"/>
      <w:r w:rsidRPr="1F7231C4" w:rsidR="1F7231C4">
        <w:rPr>
          <w:rFonts w:ascii="Arial" w:hAnsi="Arial" w:eastAsia="Arial" w:cs="Arial"/>
          <w:color w:val="0D0D0D" w:themeColor="text1" w:themeTint="F2" w:themeShade="FF"/>
          <w:sz w:val="24"/>
          <w:szCs w:val="24"/>
        </w:rPr>
        <w:t xml:space="preserve"> </w:t>
      </w:r>
      <w:proofErr w:type="spellStart"/>
      <w:r w:rsidRPr="1F7231C4" w:rsidR="1F7231C4">
        <w:rPr>
          <w:rFonts w:ascii="Arial" w:hAnsi="Arial" w:eastAsia="Arial" w:cs="Arial"/>
          <w:color w:val="0D0D0D" w:themeColor="text1" w:themeTint="F2" w:themeShade="FF"/>
          <w:sz w:val="24"/>
          <w:szCs w:val="24"/>
        </w:rPr>
        <w:t>approach</w:t>
      </w:r>
      <w:proofErr w:type="spellEnd"/>
      <w:r w:rsidRPr="1F7231C4" w:rsidR="1F7231C4">
        <w:rPr>
          <w:rFonts w:ascii="Arial" w:hAnsi="Arial" w:eastAsia="Arial" w:cs="Arial"/>
          <w:color w:val="0D0D0D" w:themeColor="text1" w:themeTint="F2" w:themeShade="FF"/>
          <w:sz w:val="24"/>
          <w:szCs w:val="24"/>
        </w:rPr>
        <w:t xml:space="preserve">, teoría </w:t>
      </w:r>
      <w:r w:rsidRPr="1F7231C4" w:rsidR="1F7231C4">
        <w:rPr>
          <w:rFonts w:ascii="Arial" w:hAnsi="Arial" w:eastAsia="Arial" w:cs="Arial"/>
          <w:color w:val="0D0D0D" w:themeColor="text1" w:themeTint="F2" w:themeShade="FF"/>
          <w:sz w:val="24"/>
          <w:szCs w:val="24"/>
        </w:rPr>
        <w:t>criminológica, expone</w:t>
      </w:r>
      <w:r w:rsidRPr="1F7231C4" w:rsidR="1F7231C4">
        <w:rPr>
          <w:rFonts w:ascii="Arial" w:hAnsi="Arial" w:eastAsia="Arial" w:cs="Arial"/>
          <w:color w:val="0D0D0D" w:themeColor="text1" w:themeTint="F2" w:themeShade="FF"/>
          <w:sz w:val="24"/>
          <w:szCs w:val="24"/>
        </w:rPr>
        <w:t xml:space="preserve"> el planteamiento de sus autores principales. Y se busca evidenciar el impacto que tiene la etiqueta impuesta por la sociedad, en la representación social y personal en el delincuente.</w:t>
      </w:r>
    </w:p>
    <w:p w:rsidR="1F7231C4" w:rsidP="1F7231C4" w:rsidRDefault="1F7231C4" w14:paraId="4FD65521" w14:textId="60930295">
      <w:pPr>
        <w:pStyle w:val="Normal"/>
        <w:spacing w:line="480" w:lineRule="auto"/>
        <w:jc w:val="left"/>
        <w:rPr>
          <w:rFonts w:ascii="Arial" w:hAnsi="Arial" w:eastAsia="Arial" w:cs="Arial"/>
          <w:b w:val="0"/>
          <w:bCs w:val="0"/>
          <w:color w:val="0D0D0D" w:themeColor="text1" w:themeTint="F2" w:themeShade="FF"/>
          <w:sz w:val="24"/>
          <w:szCs w:val="24"/>
          <w:rtl w:val="0"/>
        </w:rPr>
      </w:pPr>
      <w:r w:rsidRPr="1F7231C4" w:rsidR="1F7231C4">
        <w:rPr>
          <w:rFonts w:ascii="Arial" w:hAnsi="Arial" w:eastAsia="Arial" w:cs="Arial"/>
          <w:b w:val="1"/>
          <w:bCs w:val="1"/>
          <w:color w:val="0D0D0D" w:themeColor="text1" w:themeTint="F2" w:themeShade="FF"/>
          <w:sz w:val="24"/>
          <w:szCs w:val="24"/>
        </w:rPr>
        <w:t xml:space="preserve">Palabras claves: </w:t>
      </w:r>
      <w:r w:rsidRPr="1F7231C4" w:rsidR="1F7231C4">
        <w:rPr>
          <w:rFonts w:ascii="Arial" w:hAnsi="Arial" w:eastAsia="Arial" w:cs="Arial"/>
          <w:b w:val="0"/>
          <w:bCs w:val="0"/>
          <w:color w:val="0D0D0D" w:themeColor="text1" w:themeTint="F2" w:themeShade="FF"/>
          <w:sz w:val="24"/>
          <w:szCs w:val="24"/>
        </w:rPr>
        <w:t xml:space="preserve">etiqueta, estigma, </w:t>
      </w:r>
      <w:proofErr w:type="spellStart"/>
      <w:r w:rsidRPr="1F7231C4" w:rsidR="1F7231C4">
        <w:rPr>
          <w:rFonts w:ascii="Arial" w:hAnsi="Arial" w:eastAsia="Arial" w:cs="Arial"/>
          <w:b w:val="0"/>
          <w:bCs w:val="0"/>
          <w:color w:val="0D0D0D" w:themeColor="text1" w:themeTint="F2" w:themeShade="FF"/>
          <w:sz w:val="24"/>
          <w:szCs w:val="24"/>
        </w:rPr>
        <w:t>labeling</w:t>
      </w:r>
      <w:proofErr w:type="spellEnd"/>
      <w:r w:rsidRPr="1F7231C4" w:rsidR="1F7231C4">
        <w:rPr>
          <w:rFonts w:ascii="Arial" w:hAnsi="Arial" w:eastAsia="Arial" w:cs="Arial"/>
          <w:b w:val="0"/>
          <w:bCs w:val="0"/>
          <w:color w:val="0D0D0D" w:themeColor="text1" w:themeTint="F2" w:themeShade="FF"/>
          <w:sz w:val="24"/>
          <w:szCs w:val="24"/>
        </w:rPr>
        <w:t xml:space="preserve"> </w:t>
      </w:r>
      <w:proofErr w:type="spellStart"/>
      <w:r w:rsidRPr="1F7231C4" w:rsidR="1F7231C4">
        <w:rPr>
          <w:rFonts w:ascii="Arial" w:hAnsi="Arial" w:eastAsia="Arial" w:cs="Arial"/>
          <w:b w:val="0"/>
          <w:bCs w:val="0"/>
          <w:color w:val="0D0D0D" w:themeColor="text1" w:themeTint="F2" w:themeShade="FF"/>
          <w:sz w:val="24"/>
          <w:szCs w:val="24"/>
        </w:rPr>
        <w:t>approach</w:t>
      </w:r>
      <w:proofErr w:type="spellEnd"/>
      <w:r w:rsidRPr="1F7231C4" w:rsidR="1F7231C4">
        <w:rPr>
          <w:rFonts w:ascii="Arial" w:hAnsi="Arial" w:eastAsia="Arial" w:cs="Arial"/>
          <w:b w:val="0"/>
          <w:bCs w:val="0"/>
          <w:color w:val="0D0D0D" w:themeColor="text1" w:themeTint="F2" w:themeShade="FF"/>
          <w:sz w:val="24"/>
          <w:szCs w:val="24"/>
        </w:rPr>
        <w:t>, sociedad.</w:t>
      </w:r>
    </w:p>
    <w:p w:rsidR="1F7231C4" w:rsidP="1F7231C4" w:rsidRDefault="1F7231C4" w14:paraId="2BA79A95" w14:textId="3F6320BA">
      <w:pPr>
        <w:pStyle w:val="Normal"/>
        <w:spacing w:line="480" w:lineRule="auto"/>
        <w:jc w:val="left"/>
        <w:rPr>
          <w:rFonts w:ascii="Arial" w:hAnsi="Arial" w:eastAsia="Arial" w:cs="Arial"/>
          <w:b w:val="1"/>
          <w:bCs w:val="1"/>
          <w:color w:val="0D0D0D" w:themeColor="text1" w:themeTint="F2" w:themeShade="FF"/>
          <w:rtl w:val="0"/>
        </w:rPr>
      </w:pPr>
    </w:p>
    <w:p xmlns:wp14="http://schemas.microsoft.com/office/word/2010/wordml" w:rsidRPr="00000000" w:rsidR="00000000" w:rsidDel="00000000" w:rsidP="00000000" w:rsidRDefault="00000000" w14:paraId="00000006"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Pr>
        <w:drawing>
          <wp:inline xmlns:wp14="http://schemas.microsoft.com/office/word/2010/wordprocessingDrawing" distT="0" distB="0" distL="0" distR="0" wp14:anchorId="049F4BA6" wp14:editId="7777777">
            <wp:extent cx="5762674" cy="2673932"/>
            <wp:effectExtent l="0" t="0" r="0" b="0"/>
            <wp:docPr id="11" name="image1.png" descr="En Medellín, el 2018 cerró con un total de 634 víctimas de homicidio. En lo que va corrido del año van cerca de 405 homicidios ¿Hemos naturalizado este fenómeno? ¿A quiénes están asesinando y por qué? | Todas las ilustraciones por Elizabeth Builes."/>
            <a:graphic>
              <a:graphicData uri="http://schemas.openxmlformats.org/drawingml/2006/picture">
                <pic:pic>
                  <pic:nvPicPr>
                    <pic:cNvPr id="0" name="image1.png" descr="En Medellín, el 2018 cerró con un total de 634 víctimas de homicidio. En lo que va corrido del año van cerca de 405 homicidios ¿Hemos naturalizado este fenómeno? ¿A quiénes están asesinando y por qué? | Todas las ilustraciones por Elizabeth Builes."/>
                    <pic:cNvPicPr preferRelativeResize="0"/>
                  </pic:nvPicPr>
                  <pic:blipFill>
                    <a:blip r:embed="rId7"/>
                    <a:srcRect l="0" t="0" r="0" b="0"/>
                    <a:stretch>
                      <a:fillRect/>
                    </a:stretch>
                  </pic:blipFill>
                  <pic:spPr>
                    <a:xfrm>
                      <a:off x="0" y="0"/>
                      <a:ext cx="5762674" cy="2673932"/>
                    </a:xfrm>
                    <a:prstGeom prst="rect"/>
                    <a:ln/>
                  </pic:spPr>
                </pic:pic>
              </a:graphicData>
            </a:graphic>
          </wp:inline>
        </w:drawing>
      </w:r>
      <w:r w:rsidRPr="00000000" w:rsidDel="00000000" w:rsidR="00000000">
        <w:rPr>
          <w:rFonts w:ascii="Arial" w:hAnsi="Arial" w:eastAsia="Arial" w:cs="Arial"/>
          <w:color w:val="0d0d0d"/>
          <w:highlight w:val="white"/>
        </w:rPr>
        <w:t xml:space="preserve">Ilustración por Elizabeth Builes. Tomada de revista Arcadia, publicado el 12 de agosto de </w:t>
      </w:r>
      <w:r w:rsidRPr="00000000" w:rsidDel="00000000" w:rsidR="00000000">
        <w:rPr>
          <w:rFonts w:ascii="Arial" w:hAnsi="Arial" w:eastAsia="Arial" w:cs="Arial"/>
          <w:color w:val="0d0d0d"/>
        </w:rPr>
        <w:t xml:space="preserve">2019.</w:t>
      </w:r>
      <w:r w:rsidRPr="00000000" w:rsidDel="00000000" w:rsidR="00000000">
        <w:rPr>
          <w:rtl w:val="0"/>
        </w:rPr>
      </w:r>
    </w:p>
    <w:p xmlns:wp14="http://schemas.microsoft.com/office/word/2010/wordml" w:rsidRPr="00000000" w:rsidR="00000000" w:rsidDel="00000000" w:rsidP="00000000" w:rsidRDefault="00000000" w14:paraId="00000007"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Colombia es un país marcado por la violencia, para nadie es un secreto la existencia del conflicto armado que enfrentamos desde hace aproximadamente 70 años; con el paso del tiempo fueron evolucionando y se han trasfigurado los distintos grupos armados, que se han situado en las grandes ciudades, en búsqueda de fuentes de ingreso y financiación para su organización ilegal, además de que existe una lucha constante por el poder y el control del territorio. Las estadísticas demuestran que, en muchos de los grupos al margen de la ley, hay participación de menores de edad, ya sea por reclutamiento forzado, amenazas, o por voluntad propia; los menores son usados e instrumentalizados para cometer delitos. Las estadísticas del año 2019, indican que la mayoría de jóvenes miembros de dichos grupos tienen entre 16 y 17 años y que el 90% de los aprehendidos son hombres y, además los delitos más comunes son el hurto, el tráfico de estupefacientes, y el porte de armas. (ELTIEMPO, 2019)</w:t>
      </w:r>
    </w:p>
    <w:p xmlns:wp14="http://schemas.microsoft.com/office/word/2010/wordml" w:rsidRPr="00000000" w:rsidR="00000000" w:rsidDel="00000000" w:rsidP="00000000" w:rsidRDefault="00000000" w14:paraId="00000008" wp14:textId="77777777">
      <w:pPr>
        <w:spacing w:line="480" w:lineRule="auto"/>
        <w:jc w:val="both"/>
        <w:rPr>
          <w:rFonts w:ascii="Arial" w:hAnsi="Arial" w:eastAsia="Arial" w:cs="Arial"/>
          <w:color w:val="0d0d0d"/>
          <w:sz w:val="24"/>
          <w:szCs w:val="24"/>
          <w:highlight w:val="white"/>
        </w:rPr>
      </w:pPr>
      <w:r w:rsidRPr="00000000" w:rsidDel="00000000" w:rsidR="00000000">
        <w:rPr>
          <w:rFonts w:ascii="Arial" w:hAnsi="Arial" w:eastAsia="Arial" w:cs="Arial"/>
          <w:color w:val="0d0d0d"/>
          <w:sz w:val="24"/>
          <w:szCs w:val="24"/>
          <w:rtl w:val="0"/>
        </w:rPr>
        <w:t xml:space="preserve">El objetivo del presente artículo es analizar por medio de la teoría del labeling approach, teoría criminológica, el caso nombrado por los medios como el “niño sicario”, ocurrido en el año 2019, en Colombia. Dónde el pasado </w:t>
      </w:r>
      <w:r w:rsidRPr="00000000" w:rsidDel="00000000" w:rsidR="00000000">
        <w:rPr>
          <w:rFonts w:ascii="Arial" w:hAnsi="Arial" w:eastAsia="Arial" w:cs="Arial"/>
          <w:color w:val="0d0d0d"/>
          <w:sz w:val="24"/>
          <w:szCs w:val="24"/>
          <w:highlight w:val="white"/>
          <w:rtl w:val="0"/>
        </w:rPr>
        <w:t xml:space="preserve">27 de marzo de 2019, en Medellín, un menor de 14 años asesinó a dos personas, y dejó herida a otra. </w:t>
      </w:r>
      <w:r w:rsidRPr="00000000" w:rsidDel="00000000" w:rsidR="00000000">
        <w:rPr>
          <w:rFonts w:ascii="Arial" w:hAnsi="Arial" w:eastAsia="Arial" w:cs="Arial"/>
          <w:color w:val="0d0d0d"/>
          <w:sz w:val="24"/>
          <w:szCs w:val="24"/>
          <w:rtl w:val="0"/>
        </w:rPr>
        <w:t xml:space="preserve">Fue capturado por las autoridades con el arma en la mano y 6 cartuchos que ya habían sido disparados</w:t>
      </w:r>
      <w:r w:rsidRPr="00000000" w:rsidDel="00000000" w:rsidR="00000000">
        <w:rPr>
          <w:rFonts w:ascii="Arial" w:hAnsi="Arial" w:eastAsia="Arial" w:cs="Arial"/>
          <w:color w:val="0d0d0d"/>
          <w:sz w:val="24"/>
          <w:szCs w:val="24"/>
          <w:highlight w:val="white"/>
          <w:rtl w:val="0"/>
        </w:rPr>
        <w:t xml:space="preserve">. Las investigaciones de la fiscalía relacionan al menor con </w:t>
      </w:r>
      <w:r w:rsidRPr="00000000" w:rsidDel="00000000" w:rsidR="00000000">
        <w:rPr>
          <w:rFonts w:ascii="Arial" w:hAnsi="Arial" w:eastAsia="Arial" w:cs="Arial"/>
          <w:color w:val="0d0d0d"/>
          <w:sz w:val="24"/>
          <w:szCs w:val="24"/>
          <w:rtl w:val="0"/>
        </w:rPr>
        <w:t xml:space="preserve">la banda delincuencial "la torre", y el ex fiscal, </w:t>
      </w:r>
      <w:r w:rsidRPr="00000000" w:rsidDel="00000000" w:rsidR="00000000">
        <w:rPr>
          <w:rFonts w:ascii="Arial" w:hAnsi="Arial" w:eastAsia="Arial" w:cs="Arial"/>
          <w:color w:val="0d0d0d"/>
          <w:sz w:val="24"/>
          <w:szCs w:val="24"/>
          <w:highlight w:val="white"/>
          <w:rtl w:val="0"/>
        </w:rPr>
        <w:t xml:space="preserve">Néstor Humberto Martínez, afirmó que el menor de edad en cuestión, está relacionado con diez homicidios más. </w:t>
      </w:r>
    </w:p>
    <w:p xmlns:wp14="http://schemas.microsoft.com/office/word/2010/wordml" w:rsidRPr="00000000" w:rsidR="00000000" w:rsidDel="00000000" w:rsidP="00000000" w:rsidRDefault="00000000" w14:paraId="00000009" wp14:textId="77777777">
      <w:pPr>
        <w:keepNext w:val="0"/>
        <w:keepLines w:val="0"/>
        <w:widowControl w:val="1"/>
        <w:pBdr>
          <w:top w:val="nil" w:sz="0" w:space="0"/>
          <w:left w:val="nil" w:sz="0" w:space="0"/>
          <w:bottom w:val="nil" w:sz="0" w:space="0"/>
          <w:right w:val="nil" w:sz="0" w:space="0"/>
          <w:between w:val="nil" w:sz="0" w:space="0"/>
        </w:pBdr>
        <w:shd w:val="clear" w:fill="ffffff"/>
        <w:spacing w:before="280" w:after="280" w:line="480" w:lineRule="auto"/>
        <w:ind w:left="0" w:right="0" w:firstLine="0"/>
        <w:jc w:val="both"/>
        <w:rPr>
          <w:rFonts w:ascii="Arial" w:hAnsi="Arial" w:eastAsia="Arial" w:cs="Arial"/>
          <w:b w:val="0"/>
          <w:i w:val="0"/>
          <w:smallCaps w:val="0"/>
          <w:strike w:val="0"/>
          <w:color w:val="0d0d0d"/>
          <w:sz w:val="24"/>
          <w:szCs w:val="24"/>
          <w:highlight w:val="white"/>
          <w:u w:val="none"/>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“La torre” es una estr</w:t>
      </w: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uctura criminal, que principalmente trabaja en la comuna 13, en Medellín, y constantemente tiene confrontaciones con las otras bandas criminales, por el control territorial de esta zona.  Los delitos cometidos comúnmente por este grupo son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h</w:t>
      </w: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omicidio, concierto para delinquir, extorsión, tráfico de estupefacientes, y porte ilegal de armas de fuego. Hay que resaltar la definición de grupos ilegales dada por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Guemureman, </w:t>
      </w: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como</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un “sistema social organizado”, donde existe una estructura de liderazgo, roles definidos, donde al unirse a estos grupos y aceptar los trabajos establecidos, se legitima el mando y la estructura de poder.</w:t>
      </w:r>
      <w:r w:rsidRPr="00000000" w:rsidDel="00000000" w:rsidR="00000000">
        <w:rPr>
          <w:rtl w:val="0"/>
        </w:rPr>
      </w:r>
    </w:p>
    <w:p xmlns:wp14="http://schemas.microsoft.com/office/word/2010/wordml" w:rsidRPr="00000000" w:rsidR="00000000" w:rsidDel="00000000" w:rsidP="00000000" w:rsidRDefault="00000000" w14:paraId="0000000A" wp14:textId="77777777">
      <w:pPr>
        <w:keepNext w:val="0"/>
        <w:keepLines w:val="0"/>
        <w:widowControl w:val="1"/>
        <w:pBdr>
          <w:top w:val="nil" w:sz="0" w:space="0"/>
          <w:left w:val="nil" w:sz="0" w:space="0"/>
          <w:bottom w:val="nil" w:sz="0" w:space="0"/>
          <w:right w:val="nil" w:sz="0" w:space="0"/>
          <w:between w:val="nil" w:sz="0" w:space="0"/>
        </w:pBdr>
        <w:shd w:val="clear" w:fill="auto"/>
        <w:spacing w:before="280" w:after="28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James Zuluaga, director del comité de Derechos Humanos en la Comuna 13, en un artículo de prensa, dijo que esta comuna es la zona que tiene el mayor número de menores en las bandas delincuenciales y afirma que esto es debido a que dicha comuna ha sido la que menos inversión social ha tenido en la ciudad. Según él, esto genera que por condiciones económicas muchos niños y jóvenes se desescolaricen y busquen medios para apoyar económicamente a su familia, para sobrevivir, lo que abre paso a que estos menores se vinculen con dichos grupos</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y</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con pequeños trabajos</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empiecen a ser parte de las bandas criminales, escalonando en los grados de poder según sus encargos o misiones. </w:t>
      </w:r>
    </w:p>
    <w:p xmlns:wp14="http://schemas.microsoft.com/office/word/2010/wordml" w:rsidRPr="00000000" w:rsidR="00000000" w:rsidDel="00000000" w:rsidP="00000000" w:rsidRDefault="00000000" w14:paraId="0000000B" wp14:textId="77777777">
      <w:pPr>
        <w:keepNext w:val="0"/>
        <w:keepLines w:val="0"/>
        <w:widowControl w:val="1"/>
        <w:pBdr>
          <w:top w:val="nil" w:sz="0" w:space="0"/>
          <w:left w:val="nil" w:sz="0" w:space="0"/>
          <w:bottom w:val="nil" w:sz="0" w:space="0"/>
          <w:right w:val="nil" w:sz="0" w:space="0"/>
          <w:between w:val="nil" w:sz="0" w:space="0"/>
        </w:pBdr>
        <w:shd w:val="clear" w:fill="auto"/>
        <w:spacing w:before="280" w:after="28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Según Zuluaga, "en el análisis de caracterización de los miembros de las bandas criminales de la Comuna 13, que desarrolló la mesa de Derechos Humanos en el 2019, determinó cifras alarmantes. El análisis nos arroja que en esta comuna hay al menos 1000 personas que estarían al servicio de estas estructuras armadas, de las cuales 600 serían menores de edad. Asimismo reveló que la edad de los niños en la que empiezan a ser captados por los integrantes de las diferentes estructuras criminales que convergen en el territorio es desde los 10 años de edad.”. (Publimetro, 2020). Lo anterior, demuestra la situación crítica que atraviesa el país, ya que según dichos análisis, las bandas criminales están conformadas por una alto porcentaje de menores de edad, los cuales son “iniciados” en este mundo ilegal a partir de los 10 años, lo cual es sumamente aberrante para un niño de esta edad, tener que realizar actos delincuenciales.</w:t>
      </w:r>
    </w:p>
    <w:p xmlns:wp14="http://schemas.microsoft.com/office/word/2010/wordml" w:rsidRPr="00000000" w:rsidR="00000000" w:rsidDel="00000000" w:rsidP="00000000" w:rsidRDefault="00000000" w14:paraId="0000000C" wp14:textId="77777777">
      <w:pPr>
        <w:spacing w:line="480" w:lineRule="auto"/>
        <w:jc w:val="both"/>
        <w:rPr>
          <w:rFonts w:ascii="Arial" w:hAnsi="Arial" w:eastAsia="Arial" w:cs="Arial"/>
          <w:color w:val="0d0d0d"/>
          <w:sz w:val="24"/>
          <w:szCs w:val="24"/>
        </w:rPr>
      </w:pPr>
      <w:bookmarkStart w:name="_gjdgxs" w:colFirst="0" w:colLast="0" w:id="0"/>
      <w:bookmarkEnd w:id="0"/>
      <w:r w:rsidRPr="00000000" w:rsidDel="00000000" w:rsidR="00000000">
        <w:rPr>
          <w:rFonts w:ascii="Arial" w:hAnsi="Arial" w:eastAsia="Arial" w:cs="Arial"/>
          <w:color w:val="0d0d0d"/>
          <w:sz w:val="24"/>
          <w:szCs w:val="24"/>
          <w:rtl w:val="0"/>
        </w:rPr>
        <w:t xml:space="preserve">Para empezar, es justo resaltar la pregunta “¿Qué pasa en una sociedad que permite que un adolescente se convierta en una máquina de matar?</w:t>
      </w:r>
      <w:r w:rsidRPr="00000000" w:rsidDel="00000000" w:rsidR="00000000">
        <w:rPr>
          <w:rFonts w:ascii="Arial" w:hAnsi="Arial" w:eastAsia="Arial" w:cs="Arial"/>
          <w:color w:val="0d0d0d"/>
          <w:sz w:val="24"/>
          <w:szCs w:val="24"/>
          <w:vertAlign w:val="superscript"/>
        </w:rPr>
        <w:footnoteReference w:customMarkFollows="0" w:id="1"/>
      </w:r>
      <w:r w:rsidRPr="00000000" w:rsidDel="00000000" w:rsidR="00000000">
        <w:rPr>
          <w:rFonts w:ascii="Arial" w:hAnsi="Arial" w:eastAsia="Arial" w:cs="Arial"/>
          <w:color w:val="0d0d0d"/>
          <w:sz w:val="24"/>
          <w:szCs w:val="24"/>
          <w:rtl w:val="0"/>
        </w:rPr>
        <w:t xml:space="preserve">”, planteada en un artículo de prensa dónde se narraban los hechos ocurridos con el menor de edad en cuestión, y consideraban que era necesario valorar la posibilidad  de aumentar las sanciones, en caso de reincidencia, para así evitar “otros niños graduados de delincuentes profesionales”. El interrogante cuestiona la responsabilidad de la sociedad y, al mismo tiempo, desnaturaliza al adolescente al que se refiere, ya que lo configura como un objeto, un simple ente.</w:t>
      </w:r>
    </w:p>
    <w:p xmlns:wp14="http://schemas.microsoft.com/office/word/2010/wordml" w:rsidRPr="00000000" w:rsidR="00000000" w:rsidDel="00000000" w:rsidP="00000000" w:rsidRDefault="00000000" w14:paraId="0000000D" wp14:textId="77777777">
      <w:pPr>
        <w:shd w:val="clear" w:fill="ffffff"/>
        <w:spacing w:after="0"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Es necesario referirnos al origen del término “estigma” que, según Bergalli (1980), proviene de los griegos, quienes lo empleaban para referirse a algo malo o poco habitual. Además, era un atributo desacreditado que señalaba a la persona. En la teoría del labeling approach, como lo señala </w:t>
      </w:r>
      <w:r w:rsidRPr="00000000" w:rsidDel="00000000" w:rsidR="00000000">
        <w:rPr>
          <w:rFonts w:ascii="Arial" w:hAnsi="Arial" w:eastAsia="Arial" w:cs="Arial"/>
          <w:color w:val="0d0d0d"/>
          <w:sz w:val="24"/>
          <w:szCs w:val="24"/>
          <w:highlight w:val="white"/>
          <w:rtl w:val="0"/>
        </w:rPr>
        <w:t xml:space="preserve">Alessandro Baratta (1982), s</w:t>
      </w:r>
      <w:r w:rsidRPr="00000000" w:rsidDel="00000000" w:rsidR="00000000">
        <w:rPr>
          <w:rFonts w:ascii="Arial" w:hAnsi="Arial" w:eastAsia="Arial" w:cs="Arial"/>
          <w:color w:val="0d0d0d"/>
          <w:sz w:val="24"/>
          <w:szCs w:val="24"/>
          <w:rtl w:val="0"/>
        </w:rPr>
        <w:t xml:space="preserve">e estudia el efecto estigmatizante generado en el delincuente, la conducta desviada, que se va consolidado en su identidad, ya que según Clarence Schrag (1971) una vez la persona es etiquetada como criminal, es muy difícil que pueda desprenderse de tal señalamiento, y poder retornar a su estatus social anterior. </w:t>
      </w:r>
    </w:p>
    <w:p xmlns:wp14="http://schemas.microsoft.com/office/word/2010/wordml" w:rsidRPr="00000000" w:rsidR="00000000" w:rsidDel="00000000" w:rsidP="00000000" w:rsidRDefault="00000000" w14:paraId="0000000E" wp14:textId="77777777">
      <w:pPr>
        <w:shd w:val="clear" w:fill="ffffff"/>
        <w:spacing w:after="0" w:line="480" w:lineRule="auto"/>
        <w:jc w:val="both"/>
        <w:rPr>
          <w:rFonts w:ascii="Arial" w:hAnsi="Arial" w:eastAsia="Arial" w:cs="Arial"/>
          <w:color w:val="0d0d0d"/>
          <w:sz w:val="24"/>
          <w:szCs w:val="24"/>
        </w:rPr>
      </w:pPr>
      <w:r w:rsidRPr="00000000" w:rsidDel="00000000" w:rsidR="00000000">
        <w:rPr>
          <w:rtl w:val="0"/>
        </w:rPr>
      </w:r>
    </w:p>
    <w:p xmlns:wp14="http://schemas.microsoft.com/office/word/2010/wordml" w:rsidRPr="00000000" w:rsidR="00000000" w:rsidDel="00000000" w:rsidP="00000000" w:rsidRDefault="00000000" w14:paraId="0000000F"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Howard Becker, es considerado como uno de los fundadores de la teoría del etiquetamiento o labeling approach. Este autor indica que en las sociedades se establecen normas, las cuales pueden ser reglas sociales, que pueden determinar cuando existen comportamientos apropiados, correctos, incorrectos y prohibidos. Cuando una persona viola una norma es visto como un infractor, como una persona especial, que es incapaz de vivir según las normas establecidas por su comunidad y, por lo tanto, es considerado un “outsider”, es decir, un marginal. Un punto relevante es que cuando la persona se convierte en un marginal, la sociedad lo castiga severamente, realizando un juicio en virtud a los valores preponderantes en la sociedad, a tal punto de que lo dejan de considerar como un semejante y pasa a ser parte de una categoría homogénea, es decir, la de los marginales. En el caso en cuestión, vemos que se refieren al menor con sobrenombres denigrantes, como que es considerado una máquina para matar, un sicario y hasta un caso perdido, por lo que creen que es necesario que las instituciones estatales intervengan y dejen al menor dentro de un centro de rehabilitación, neutralizarlo, es decir por fuera de la sociedad.</w:t>
      </w:r>
    </w:p>
    <w:p xmlns:wp14="http://schemas.microsoft.com/office/word/2010/wordml" w:rsidRPr="00000000" w:rsidR="00000000" w:rsidDel="00000000" w:rsidP="00000000" w:rsidRDefault="00000000" w14:paraId="00000010"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Becker enuncia que la desviación es creada por la sociedad. Ya que al ser la comunidad la que determina la desviación al desconocer las normas, etiqueta a los infractores como marginales. Por lo que “la desviación no es una cualidad del acto que la persona comete, sino una consecuencia de la aplicación de reglas y sanciones sobre el "infractor" a manos de terceros. El desviado es en quien ha sido exitosamente etiquetado como tal, y el comportamiento desviado, es el comportamiento que la gente etiqueta como tal” (Becker, 1963). Este autor destaca que al señalar a una persona como “outsider”, genera necesariamente un valor simbólico generalizado en los miembros de la sociedad, por lo que los individuos necesariamente atribuyen automáticamente que el sujeto señalado, es decir, el delincuente, posee otros rasgos desviados, sin que esto sea totalmente cierto. Por ejemplo, en muchos casos en que el sujeto es delincuente, es acusado de ser drogadicto, y todos sus actos van a ser juzgados con la perspectiva de que todo lo que representa y hace el delincuente es una infamia y no está correcto.</w:t>
      </w:r>
    </w:p>
    <w:p xmlns:wp14="http://schemas.microsoft.com/office/word/2010/wordml" w:rsidRPr="00000000" w:rsidR="00000000" w:rsidDel="00000000" w:rsidP="00000000" w:rsidRDefault="00000000" w14:paraId="00000011"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Becker señala “que se ha demostrado que la consecuencia de la aplicación de las sanciones consiste en el cambio decisivo en la identidad social del individuo, un cambio que se le introduce en el estatus de desviado, que afecta directamente su rango o prestigio. (Baratta, pág. 88) El individuo  al ser marcado o encasillado en una categoría que necesariamente atenta contra su dignidad y honra, crea lo que Schrag (1971), definió como un defecto de carácter permanente, ya que "una vez se es un criminal, siempre serás un criminal". Por lo que se puede deducir, que el menor pierde su condición de joven, estudiante, hijo, amigo, para pasar únicamente hacer un “asesino”.</w:t>
      </w:r>
    </w:p>
    <w:p xmlns:wp14="http://schemas.microsoft.com/office/word/2010/wordml" w:rsidRPr="00000000" w:rsidR="00000000" w:rsidDel="00000000" w:rsidP="00000000" w:rsidRDefault="00000000" w14:paraId="00000012"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tl w:val="0"/>
        </w:rPr>
      </w:r>
    </w:p>
    <w:p xmlns:wp14="http://schemas.microsoft.com/office/word/2010/wordml" w:rsidRPr="00000000" w:rsidR="00000000" w:rsidDel="00000000" w:rsidP="00000000" w:rsidRDefault="00000000" w14:paraId="00000013" wp14:textId="77777777">
      <w:pPr>
        <w:shd w:val="clear" w:fill="ffffff"/>
        <w:spacing w:after="0"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highlight w:val="white"/>
          <w:rtl w:val="0"/>
        </w:rPr>
        <w:t xml:space="preserve">Goffman recalca que “la sociedad establece los medios para categorizar a las personas, y el complemento de atributos que se perciben como corrientes, naturales, en los miembros de cada de cada una de esas categorías en la que se haya, y se determina cuáles son sus atributos es decir su identidad social o el estatus social” (Goffman, 1963, pág. 12). Lo cual es sumamente importante, ya que la sociedad cataloga o clasifica a las personas entre “los normales”, que son aquellos que siguen las expectativas de la sociedad que las determina. Y los desviados, que por el contrario se apartan negativamente de tales expectativas sociales.</w:t>
      </w:r>
      <w:r w:rsidRPr="00000000" w:rsidDel="00000000" w:rsidR="00000000">
        <w:rPr>
          <w:rtl w:val="0"/>
        </w:rPr>
      </w:r>
    </w:p>
    <w:p xmlns:wp14="http://schemas.microsoft.com/office/word/2010/wordml" w:rsidRPr="00000000" w:rsidR="00000000" w:rsidDel="00000000" w:rsidP="00000000" w:rsidRDefault="00000000" w14:paraId="00000014"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tl w:val="0"/>
        </w:rPr>
      </w:r>
    </w:p>
    <w:p xmlns:wp14="http://schemas.microsoft.com/office/word/2010/wordml" w:rsidRPr="00000000" w:rsidR="00000000" w:rsidDel="00000000" w:rsidP="00000000" w:rsidRDefault="00000000" w14:paraId="00000015" wp14:textId="77777777">
      <w:pPr>
        <w:shd w:val="clear" w:fill="ffffff"/>
        <w:spacing w:after="0"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Laurarri (1991), afirma que la interacción del policía con el delincuente, depende de la imagen que el policía se haga de él y esto depende de su edad, raza, forma de vestir y su manera de comportarse. Por lo que se puede afirmar, que es un juicio subjetivo que depende de las creencias sociales, y culturales de los sujetos. Gamboa (2014), menciona que un delincuente adquiere el “rotulo de desviado”, el cual es establecido por un grupo social, donde se busca que interiorice la etiqueta y cambie la concepción personal de sí mismo, observando que hay una reorganización simbólica del yo, donde el sujeto al creer tener una conducta desviada, actúa como tal, aceptando entonces tal calificación. En síntesis, “es la comunidad la que funda ciertas irregularidades atípicas de la conducta de sus asociados, y es ella misma la que decide qué clase de persona es” (Gamboa, 2014)</w:t>
      </w:r>
    </w:p>
    <w:p xmlns:wp14="http://schemas.microsoft.com/office/word/2010/wordml" w:rsidRPr="00000000" w:rsidR="00000000" w:rsidDel="00000000" w:rsidP="00000000" w:rsidRDefault="00000000" w14:paraId="00000016" wp14:textId="77777777">
      <w:pPr>
        <w:shd w:val="clear" w:fill="ffffff"/>
        <w:spacing w:after="0" w:line="480" w:lineRule="auto"/>
        <w:jc w:val="both"/>
        <w:rPr>
          <w:rFonts w:ascii="Arial" w:hAnsi="Arial" w:eastAsia="Arial" w:cs="Arial"/>
          <w:color w:val="0d0d0d"/>
          <w:sz w:val="24"/>
          <w:szCs w:val="24"/>
        </w:rPr>
      </w:pPr>
      <w:r w:rsidRPr="00000000" w:rsidDel="00000000" w:rsidR="00000000">
        <w:rPr>
          <w:rtl w:val="0"/>
        </w:rPr>
      </w:r>
    </w:p>
    <w:p xmlns:wp14="http://schemas.microsoft.com/office/word/2010/wordml" w:rsidRPr="00000000" w:rsidR="00000000" w:rsidDel="00000000" w:rsidP="00000000" w:rsidRDefault="00000000" w14:paraId="00000017"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Fonts w:ascii="Arial" w:hAnsi="Arial" w:eastAsia="Arial" w:cs="Arial"/>
          <w:color w:val="0d0d0d"/>
          <w:sz w:val="24"/>
          <w:szCs w:val="24"/>
          <w:rtl w:val="0"/>
        </w:rPr>
        <w:t xml:space="preserve">Al ser este joven llamado “sicario”, se podría considerar que, a la luz de esta teoría, el adolescente acepta e interioriza esta etiqueta y por lo tanto asume un rol en la sociedad, que directamente influye en su identidad. La directora del periódico el mundo</w:t>
      </w:r>
      <w:r w:rsidRPr="00000000" w:rsidDel="00000000" w:rsidR="00000000">
        <w:rPr>
          <w:rFonts w:ascii="Arial" w:hAnsi="Arial" w:eastAsia="Arial" w:cs="Arial"/>
          <w:color w:val="0d0d0d"/>
          <w:sz w:val="24"/>
          <w:szCs w:val="24"/>
          <w:highlight w:val="white"/>
          <w:rtl w:val="0"/>
        </w:rPr>
        <w:t xml:space="preserve"> María Tobón,</w:t>
      </w:r>
      <w:r w:rsidRPr="00000000" w:rsidDel="00000000" w:rsidR="00000000">
        <w:rPr>
          <w:rFonts w:ascii="Arial" w:hAnsi="Arial" w:eastAsia="Arial" w:cs="Arial"/>
          <w:color w:val="0d0d0d"/>
          <w:sz w:val="24"/>
          <w:szCs w:val="24"/>
          <w:rtl w:val="0"/>
        </w:rPr>
        <w:t xml:space="preserve"> manifiesta que en Medellín se ha catalogado a ciertas personas entre buenas o malas, dependiendo de ciertas características físicas, de su forma de vestir, de si tienen moto, de su grupo de amigos, etc. Es decir, un estereotipo que se construye a través de la imagen, donde se establece que el que cumpla con dichos parámetros, por ejemplo, es sicario. Lo que ha conllevado a que cuándo un joven es asesinado, se escuchen comentarios como: “</w:t>
      </w:r>
      <w:r w:rsidRPr="00000000" w:rsidDel="00000000" w:rsidR="00000000">
        <w:rPr>
          <w:rFonts w:ascii="Arial" w:hAnsi="Arial" w:eastAsia="Arial" w:cs="Arial"/>
          <w:color w:val="0d0d0d"/>
          <w:sz w:val="24"/>
          <w:szCs w:val="24"/>
          <w:highlight w:val="white"/>
          <w:rtl w:val="0"/>
        </w:rPr>
        <w:t xml:space="preserve">Mírelo, mírele la pinta. Seguramente fue por algo" (Arcadia, 2012). Hay que resaltar, que esta es una de las consecuencias de estigmatizar a un sujeto de manera general y abstracta, que muchas personas que no son “sicarios” o delincuentes, sean catalogados de dicha forma, únicamente por vestirse asi o tener alguna de las características comunes que la sociedad le atribuyó. Y segundo, al ser un grupo censurado por la sociedad, cualquier agresión que cometan en contra de la seguridad y los valores sociales, justifica cualquier acto de defensa por parte de las instituciones estatales y hasta la misma sociedad, por lo que se deshumaniza al delincuente, ya que no es visto como una persona, sino como un indeseable, un enemigo. </w:t>
      </w:r>
    </w:p>
    <w:p xmlns:wp14="http://schemas.microsoft.com/office/word/2010/wordml" w:rsidRPr="00000000" w:rsidR="00000000" w:rsidDel="00000000" w:rsidP="00000000" w:rsidRDefault="00000000" w14:paraId="00000018"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tl w:val="0"/>
        </w:rPr>
      </w:r>
    </w:p>
    <w:p xmlns:wp14="http://schemas.microsoft.com/office/word/2010/wordml" w:rsidRPr="00000000" w:rsidR="00000000" w:rsidDel="00000000" w:rsidP="00000000" w:rsidRDefault="00000000" w14:paraId="00000019"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Fonts w:ascii="Arial" w:hAnsi="Arial" w:eastAsia="Arial" w:cs="Arial"/>
          <w:color w:val="0d0d0d"/>
          <w:sz w:val="24"/>
          <w:szCs w:val="24"/>
          <w:highlight w:val="white"/>
          <w:rtl w:val="0"/>
        </w:rPr>
        <w:t xml:space="preserve">Goffman (1963), advierte que la sociedad deja de ver a la persona estigmatizada como una persona corriente, para reducirla y menospreciarla, debido a que se considera que tiene un defecto, por lo que no es totalmente humana. El estigma explica su supuesta inferioridad, evidencia el peligro que representa para la sociedad, por lo que muchas veces el estigma se basa en otras diferencias como por ejemplo la clase social. Goffman aclara que el estigma origina un rechazo colectivo de orden social, debido a que los desviados, “representan fracasos en los esquemas tradicionales de la sociedad”. (Goffman, pág. 166)</w:t>
      </w:r>
    </w:p>
    <w:p xmlns:wp14="http://schemas.microsoft.com/office/word/2010/wordml" w:rsidRPr="00000000" w:rsidR="00000000" w:rsidDel="00000000" w:rsidP="00000000" w:rsidRDefault="00000000" w14:paraId="0000001A" wp14:textId="77777777">
      <w:pPr>
        <w:shd w:val="clear" w:fill="ffffff"/>
        <w:spacing w:after="0" w:line="480" w:lineRule="auto"/>
        <w:jc w:val="both"/>
        <w:rPr>
          <w:rFonts w:ascii="Arial" w:hAnsi="Arial" w:eastAsia="Arial" w:cs="Arial"/>
          <w:color w:val="0d0d0d"/>
          <w:sz w:val="24"/>
          <w:szCs w:val="24"/>
          <w:highlight w:val="white"/>
        </w:rPr>
      </w:pPr>
      <w:r w:rsidRPr="00000000" w:rsidDel="00000000" w:rsidR="00000000">
        <w:rPr>
          <w:rFonts w:ascii="Arial" w:hAnsi="Arial" w:eastAsia="Arial" w:cs="Arial"/>
          <w:color w:val="0d0d0d"/>
          <w:sz w:val="24"/>
          <w:szCs w:val="24"/>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B" wp14:textId="77777777">
      <w:pPr>
        <w:shd w:val="clear" w:fill="ffffff"/>
        <w:spacing w:after="0"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highlight w:val="white"/>
          <w:rtl w:val="0"/>
        </w:rPr>
        <w:t xml:space="preserve">Edwin Lemert es uno de los grandes exponentes de la teoría del labeling approach, </w:t>
      </w:r>
      <w:r w:rsidRPr="00000000" w:rsidDel="00000000" w:rsidR="00000000">
        <w:rPr>
          <w:rFonts w:ascii="Arial" w:hAnsi="Arial" w:eastAsia="Arial" w:cs="Arial"/>
          <w:color w:val="0d0d0d"/>
          <w:sz w:val="24"/>
          <w:szCs w:val="24"/>
          <w:rtl w:val="0"/>
        </w:rPr>
        <w:t xml:space="preserve">desarrolló una distinción entre dos clases de desviación, la primaria y la secundaria. Donde la primaria está referida a cómo se origina la conducta desviada, según la variedad de contextos sociales, culturales y psicológicos, destacando que se debe buscar exclusivamente en el individuo la causa de la conducta, es decir el origen de la desviación se encuentra en el hombre. La secundaria, se enfoca en determinar la relación directa entre como los actos desviados se vinculan simbólicamente con los sujetos. Dónde se hace un análisis del proceso de interacción, cuando al individuo le es atribuida una etiqueta, y por el señalamiento y la presión social, el sujeto admite su conducta como desviada, lo que lo lleva a modificar y a desarrollar una nueva identidad coherente, con la etiqueta impuesta por sociedad. (Castro, 2001)</w:t>
      </w:r>
    </w:p>
    <w:p xmlns:wp14="http://schemas.microsoft.com/office/word/2010/wordml" w:rsidRPr="00000000" w:rsidR="00000000" w:rsidDel="00000000" w:rsidP="00000000" w:rsidRDefault="00000000" w14:paraId="0000001C" wp14:textId="77777777">
      <w:pPr>
        <w:shd w:val="clear" w:fill="ffffff"/>
        <w:spacing w:after="0"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Por lo que la desviación primaria, en este caso, consistiría en indagar el contexto familiar, económico, educativo, y psicológico del menor, tratando de establecer una relación entre su entorno social, para poder determinar el origen o los motivos por los cuales este joven de apenas 14 años, se encuentra vinculado como autor de más de 10 homicidios. Mientras que en la desviación secundaria, se analizaría el proceso que ha atravesado el menor desde que fue catalogado como asesino, y su respuesta o aceptación a tal señalamiento, donde se estudia el comportamiento del menor respecto a sus actitudes, su forma de expresarse y relacionarse con los demás. </w:t>
      </w:r>
    </w:p>
    <w:p xmlns:wp14="http://schemas.microsoft.com/office/word/2010/wordml" w:rsidRPr="00000000" w:rsidR="00000000" w:rsidDel="00000000" w:rsidP="00000000" w:rsidRDefault="00000000" w14:paraId="0000001D" wp14:textId="77777777">
      <w:pPr>
        <w:spacing w:line="480" w:lineRule="auto"/>
        <w:jc w:val="both"/>
        <w:rPr>
          <w:rFonts w:ascii="Arial" w:hAnsi="Arial" w:eastAsia="Arial" w:cs="Arial"/>
          <w:color w:val="0d0d0d"/>
          <w:sz w:val="24"/>
          <w:szCs w:val="24"/>
          <w:shd w:val="clear" w:fill="f8f9fa"/>
        </w:rPr>
      </w:pPr>
      <w:r w:rsidRPr="00000000" w:rsidDel="00000000" w:rsidR="00000000">
        <w:rPr>
          <w:rFonts w:ascii="Arial" w:hAnsi="Arial" w:eastAsia="Arial" w:cs="Arial"/>
          <w:color w:val="0d0d0d"/>
          <w:sz w:val="24"/>
          <w:szCs w:val="24"/>
          <w:rtl w:val="0"/>
        </w:rPr>
        <w:t xml:space="preserve">Pérez Pinzón y Pérez Castro (2001) señalan que “la criminalidad no es una cualidad de determinada conducta, sino el resultado de un proceso de atribución una cualidad, de un proceso de estigmatización. La criminalidad es una etiqueta que se aplica por el legislador la policía, los fiscales y los jueces. Por ello la oposición del rotulo procede de las instancias formales o informales”. Lo que implica que la atribución de una etiqueta a un sujeto es una valoración, un juicio social, que es aceptado de forma colectiva por la sociedad, lo que corresponderá a los valores morales, principios generales y la moral de cada país. Pero en principio, los órganos del Estado son los primeros en determinar y establecer la conducta desviada. Por lo que al ser ellos los productores de la etiqueta, buscan la aceptación de la comunidad, lo que conlleva a que </w:t>
      </w:r>
      <w:r w:rsidRPr="00000000" w:rsidDel="00000000" w:rsidR="00000000">
        <w:rPr>
          <w:rFonts w:ascii="Arial" w:hAnsi="Arial" w:eastAsia="Arial" w:cs="Arial"/>
          <w:color w:val="0d0d0d"/>
          <w:sz w:val="24"/>
          <w:szCs w:val="24"/>
          <w:shd w:val="clear" w:fill="f8f9fa"/>
          <w:rtl w:val="0"/>
        </w:rPr>
        <w:t xml:space="preserve"> “los funcionarios hagan una exhibición pública de su repugnancia contra el delito y el delincuente” (Schrag, 1971)</w:t>
      </w:r>
    </w:p>
    <w:p xmlns:wp14="http://schemas.microsoft.com/office/word/2010/wordml" w:rsidRPr="00000000" w:rsidR="00000000" w:rsidDel="00000000" w:rsidP="00000000" w:rsidRDefault="00000000" w14:paraId="0000001E"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Schrang (1971), menciona cinco modos de reacción a los comportamientos desviados. El primero, es la tolerancia, que consiste en el fracaso de una sociedad para detectar sus delitos o el ocultamiento deliberado de los delitos detectados, con el fin de encubrir una realidad social. El segundo, es el castigo, el mejor ejemplo es la pena privativa de la libertad y, generalmente</w:t>
      </w:r>
      <w:r w:rsidRPr="00000000" w:rsidDel="00000000" w:rsidR="00000000">
        <w:rPr>
          <w:rFonts w:ascii="Arial" w:hAnsi="Arial" w:eastAsia="Arial" w:cs="Arial"/>
          <w:color w:val="0d0d0d"/>
          <w:sz w:val="24"/>
          <w:szCs w:val="24"/>
          <w:rtl w:val="0"/>
        </w:rPr>
        <w:t xml:space="preserve">,</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este va necesariamente acompañado de un proceso de estigmatización, desfiguración, exclusión social</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y demás formas de represalias oficiales contra el delincuente. El tercero, es el tratamiento, el cual busca reformar la conducta del individuo, por medio de la rehabilitación y asi poder resocializar al delincuente por medio del ajuste o modificación del comportamiento desviado, a uno correcto y apropiado con los valores sociales de la comunidad. Respecto a este punto, este autor hace una crítica, ya que considera que “ muchas de nuestras instituciones correccionales no son más que vastos depósitos para el almacenamiento seguro de personas que la sociedad ha calificado de peligrosas” (Schrag, pág. 11). Lo que quiere decir, primero, que la etiqueta necesariamente marca a la persona como un sujeto peligroso que tiene que estar fuera de la sociedad y sobretodo, algo que en la actualidad tiene mucha vigencia, es que este tratamiento no está enfocado para lograr la rehabilitación, su fin primordial es tener al sujeto neutralizado y asi no permitirle seguir impetrando actos ilegítimos. </w:t>
      </w:r>
    </w:p>
    <w:p xmlns:wp14="http://schemas.microsoft.com/office/word/2010/wordml" w:rsidRPr="00000000" w:rsidR="00000000" w:rsidDel="00000000" w:rsidP="00000000" w:rsidRDefault="00000000" w14:paraId="0000001F"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El cuarto modo de reacción social a que se refiere este autor, es la reconstrucción, el cual se compagina con el anterior, que es el tratamiento, ya que la finalidad es evitar el comportamiento desviado, por medio de la revisión de los valores y de las normas de la comunidad. Finalmente, el quinto modo es la disuasión general, que en sí, se refiere a la aplicación de las normas, es decir, se establece el delito de homicidio y a la vez la sanción penal en caso de cometer el delito, lo que se quiere evitar es su violación por parte de miembros de la comunidad en general.</w:t>
      </w:r>
    </w:p>
    <w:p xmlns:wp14="http://schemas.microsoft.com/office/word/2010/wordml" w:rsidRPr="00000000" w:rsidR="00000000" w:rsidDel="00000000" w:rsidP="00000000" w:rsidRDefault="00000000" w14:paraId="00000020"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tl w:val="0"/>
        </w:rPr>
      </w:r>
    </w:p>
    <w:p xmlns:wp14="http://schemas.microsoft.com/office/word/2010/wordml" w:rsidRPr="00000000" w:rsidR="00000000" w:rsidDel="00000000" w:rsidP="00000000" w:rsidRDefault="00000000" w14:paraId="00000021"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f8f9fa"/>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Schrag (1971), afirma que en el lenguaje cotidiano no hay un término para referirnos a una persona que fue delincuente, sin que necesariamente se le atribuya un grado de estigma, debido a que los estereotipos están respaldados por toda la comunidad. En el caso en concreto, el menor no ha recibido la sanción y ya está condenado a tener su etiqueta de asesino para siempre, ya que diferentes psicólogos, consultados por los medios, aseguraron que este menor no es rehabilitable, lo cual es cuestionable, ya que para llegar a tal aseveración, es necesario realizar diferentes exámenes y pruebas conductuales, psicológicas, sociales y familiares. Además, que la sociedad al ser espectador tanto de los hechos, como de la opinión de los medios, van creando un juicio, una valoración en contra del menor de edad, al cual desde el comienzo, se le niega la posibilidad de tener una segunda oportunidad. </w:t>
      </w:r>
      <w:r w:rsidRPr="00000000" w:rsidDel="00000000" w:rsidR="00000000">
        <w:rPr>
          <w:rFonts w:ascii="Arial" w:hAnsi="Arial" w:eastAsia="Arial" w:cs="Arial"/>
          <w:b w:val="0"/>
          <w:i w:val="0"/>
          <w:smallCaps w:val="0"/>
          <w:strike w:val="0"/>
          <w:color w:val="0d0d0d"/>
          <w:sz w:val="24"/>
          <w:szCs w:val="24"/>
          <w:u w:val="none"/>
          <w:shd w:val="clear" w:fill="f8f9fa"/>
          <w:vertAlign w:val="baseline"/>
          <w:rtl w:val="0"/>
        </w:rPr>
        <w:t xml:space="preserve">Que como Schrag (1971) afirma, todos los miembros de la comunidad participan en actos de estigmatización, donde al delincuente normalmente se le asigna una posición estereotipada.</w:t>
      </w:r>
    </w:p>
    <w:p xmlns:wp14="http://schemas.microsoft.com/office/word/2010/wordml" w:rsidRPr="00000000" w:rsidR="00000000" w:rsidDel="00000000" w:rsidP="00000000" w:rsidRDefault="00000000" w14:paraId="00000022"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tl w:val="0"/>
        </w:rPr>
      </w:r>
    </w:p>
    <w:p xmlns:wp14="http://schemas.microsoft.com/office/word/2010/wordml" w:rsidRPr="00000000" w:rsidR="00000000" w:rsidDel="00000000" w:rsidP="00000000" w:rsidRDefault="00000000" w14:paraId="00000023" wp14:textId="77777777">
      <w:pPr>
        <w:keepNext w:val="0"/>
        <w:keepLines w:val="0"/>
        <w:widowControl w:val="1"/>
        <w:pBdr>
          <w:top w:val="nil" w:sz="0" w:space="0"/>
          <w:left w:val="nil" w:sz="0" w:space="0"/>
          <w:bottom w:val="nil" w:sz="0" w:space="0"/>
          <w:right w:val="nil" w:sz="0" w:space="0"/>
          <w:between w:val="nil" w:sz="0" w:space="0"/>
        </w:pBdr>
        <w:shd w:val="clear"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El autor Carlos Vázquez (2003) en uno de sus textos, a modo de conclusión respecto al labeling approach, esquematiza el desarrollo secuencial de la delincuencia de la siguiente manera:</w:t>
      </w:r>
    </w:p>
    <w:p xmlns:wp14="http://schemas.microsoft.com/office/word/2010/wordml" w:rsidRPr="00000000" w:rsidR="00000000" w:rsidDel="00000000" w:rsidP="00000000" w:rsidRDefault="00000000" w14:paraId="00000024" wp14:textId="77777777">
      <w:pPr>
        <w:spacing w:line="480" w:lineRule="auto"/>
        <w:rPr>
          <w:rFonts w:ascii="Arial" w:hAnsi="Arial" w:eastAsia="Arial" w:cs="Arial"/>
          <w:color w:val="0d0d0d"/>
          <w:sz w:val="24"/>
          <w:szCs w:val="24"/>
        </w:rPr>
      </w:pPr>
      <w:r w:rsidRPr="00000000" w:rsidDel="00000000" w:rsidR="00000000">
        <w:rPr>
          <w:rtl w:val="0"/>
        </w:rPr>
      </w:r>
    </w:p>
    <w:p xmlns:wp14="http://schemas.microsoft.com/office/word/2010/wordml" w:rsidRPr="00000000" w:rsidR="00000000" w:rsidDel="00000000" w:rsidP="00000000" w:rsidRDefault="00000000" w14:paraId="00000025" wp14:textId="77777777">
      <w:pPr>
        <w:spacing w:line="480" w:lineRule="auto"/>
        <w:rPr>
          <w:rFonts w:ascii="Arial" w:hAnsi="Arial" w:eastAsia="Arial" w:cs="Arial"/>
          <w:color w:val="0d0d0d"/>
          <w:sz w:val="24"/>
          <w:szCs w:val="24"/>
        </w:rPr>
      </w:pPr>
      <w:r w:rsidRPr="00000000" w:rsidDel="00000000" w:rsidR="00000000">
        <w:rPr>
          <w:rFonts w:ascii="Arial" w:hAnsi="Arial" w:eastAsia="Arial" w:cs="Arial"/>
          <w:color w:val="0d0d0d"/>
          <w:sz w:val="24"/>
          <w:szCs w:val="24"/>
        </w:rPr>
        <w:t xml:space="preserve">                 </w:t>
      </w:r>
    </w:p>
    <w:p xmlns:wp14="http://schemas.microsoft.com/office/word/2010/wordml" w:rsidRPr="00000000" w:rsidR="00000000" w:rsidDel="00000000" w:rsidP="36BC6A4D" w:rsidRDefault="00000000" w14:paraId="00000026" wp14:textId="19DFA4F6">
      <w:pPr>
        <w:pStyle w:val="Normal"/>
        <w:spacing w:line="480" w:lineRule="auto"/>
        <w:jc w:val="both"/>
      </w:pP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254E007B" wp14:editId="7777777">
                <wp:simplePos x="0" y="0"/>
                <wp:positionH relativeFrom="column">
                  <wp:posOffset>-803908</wp:posOffset>
                </wp:positionH>
                <wp:positionV relativeFrom="paragraph">
                  <wp:posOffset>133985</wp:posOffset>
                </wp:positionV>
                <wp:extent cx="933450" cy="733425"/>
                <wp:effectExtent l="0" t="0" r="19050" b="28575"/>
                <wp:wrapNone/>
                <wp:docPr id="9" name=""/>
                <a:graphic>
                  <a:graphicData uri="http://schemas.microsoft.com/office/word/2010/wordprocessingShape">
                    <wps:wsp>
                      <wps:cNvSpPr txBox="1"/>
                      <wps:spPr>
                        <a:xfrm>
                          <a:off x="0" y="0"/>
                          <a:ext cx="933450" cy="733425"/>
                        </a:xfrm>
                        <a:prstGeom prst="rect">
                          <a:avLst/>
                        </a:prstGeom>
                        <a:solidFill>
                          <a:schemeClr val="lt1"/>
                        </a:solidFill>
                        <a:ln w="6350">
                          <a:solidFill>
                            <a:prstClr val="black"/>
                          </a:solidFill>
                        </a:ln>
                      </wps:spPr>
                      <wps:txbx>
                        <w:txbxContent>
                          <w:p xmlns:wp14="http://schemas.microsoft.com/office/word/2010/wordml" w:rsidRPr="00EE69BD" w:rsidR="003A534D" w:rsidDel="00000000" w:rsidP="003A534D" w:rsidRDefault="003A534D" w14:paraId="49B56144" wp14:textId="77777777">
                            <w:pPr>
                              <w:rPr>
                                <w:color w:val="538135" w:themeColor="accent6" w:themeShade="0000BF"/>
                                <w:sz w:val="24"/>
                              </w:rPr>
                            </w:pPr>
                            <w:r w:rsidRPr="00EE69BD" w:rsidDel="00000000" w:rsidR="00000000">
                              <w:rPr>
                                <w:color w:val="538135" w:themeColor="accent6" w:themeShade="0000BF"/>
                                <w:sz w:val="24"/>
                              </w:rPr>
                              <w:t>Variedad de causas e influencias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76BC3C96" wp14:editId="7777777">
                <wp:simplePos x="0" y="0"/>
                <wp:positionH relativeFrom="column">
                  <wp:posOffset>-803908</wp:posOffset>
                </wp:positionH>
                <wp:positionV relativeFrom="paragraph">
                  <wp:posOffset>133985</wp:posOffset>
                </wp:positionV>
                <wp:extent cx="952500" cy="762000"/>
                <wp:effectExtent l="0" t="0" r="0" b="0"/>
                <wp:wrapNone/>
                <wp:docPr id="402223734" name="image10.png"/>
                <a:graphic>
                  <a:graphicData uri="http://schemas.openxmlformats.org/drawingml/2006/picture">
                    <pic:pic>
                      <pic:nvPicPr>
                        <pic:cNvPr id="0" name="image10.png"/>
                        <pic:cNvPicPr preferRelativeResize="0"/>
                      </pic:nvPicPr>
                      <pic:blipFill>
                        <a:blip r:embed="rId10"/>
                        <a:srcRect l="0" t="0" r="0" b="0"/>
                        <a:stretch>
                          <a:fillRect/>
                        </a:stretch>
                      </pic:blipFill>
                      <pic:spPr>
                        <a:xfrm>
                          <a:off x="0" y="0"/>
                          <a:ext cx="952500" cy="762000"/>
                        </a:xfrm>
                        <a:prstGeom prst="rect"/>
                        <a:ln/>
                      </pic:spPr>
                    </pic:pic>
                  </a:graphicData>
                </a:graphic>
              </wp:anchor>
            </w:drawing>
          </mc:Fallback>
        </mc:AlternateContent>
      </w:r>
      <w:r w:rsidRPr="00000000" w:rsidDel="00000000" w:rsidR="00000000">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0" locked="0" layoutInCell="1" hidden="0" allowOverlap="1" wp14:anchorId="22FF9232" wp14:editId="07777777">
                <wp:simplePos x="0" y="0"/>
                <wp:positionH relativeFrom="column">
                  <wp:posOffset>287089</wp:posOffset>
                </wp:positionH>
                <wp:positionV relativeFrom="paragraph">
                  <wp:posOffset>256471</wp:posOffset>
                </wp:positionV>
                <wp:extent cx="372340" cy="214183"/>
                <wp:effectExtent l="0" t="19050" r="46990" b="33655"/>
                <wp:wrapNone/>
                <wp:docPr id="6" name=""/>
                <wp:cNvGraphicFramePr/>
                <a:graphic xmlns:a="http://schemas.openxmlformats.org/drawingml/2006/main">
                  <a:graphicData uri="http://schemas.microsoft.com/office/word/2010/wordprocessingShape">
                    <wps:wsp xmlns:wps="http://schemas.microsoft.com/office/word/2010/wordprocessingShape">
                      <wps:cNvSpPr/>
                      <wps:spPr>
                        <a:xfrm>
                          <a:off x="0" y="0"/>
                          <a:ext cx="372340" cy="21418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drawing xmlns:w="http://schemas.openxmlformats.org/wordprocessingml/2006/main">
              <wp:anchor xmlns:wp14="http://schemas.microsoft.com/office/word/2010/wordprocessingDrawing" xmlns:wp="http://schemas.openxmlformats.org/drawingml/2006/wordprocessingDrawing" distT="0" distB="0" distL="114300" distR="114300" simplePos="0" relativeHeight="0" behindDoc="0" locked="0" layoutInCell="1" hidden="0" allowOverlap="1" wp14:anchorId="76BF5CE8" wp14:editId="7777777">
                <wp:simplePos xmlns:wp="http://schemas.openxmlformats.org/drawingml/2006/wordprocessingDrawing" x="0" y="0"/>
                <wp:positionH xmlns:wp="http://schemas.openxmlformats.org/drawingml/2006/wordprocessingDrawing" relativeFrom="column">
                  <wp:posOffset xmlns:wp="http://schemas.openxmlformats.org/drawingml/2006/wordprocessingDrawing">287089</wp:posOffset>
                </wp:positionH>
                <wp:positionV xmlns:wp="http://schemas.openxmlformats.org/drawingml/2006/wordprocessingDrawing" relativeFrom="paragraph">
                  <wp:posOffset xmlns:wp="http://schemas.openxmlformats.org/drawingml/2006/wordprocessingDrawing">256471</wp:posOffset>
                </wp:positionV>
                <wp:extent xmlns:wp="http://schemas.openxmlformats.org/drawingml/2006/wordprocessingDrawing" cx="495918" cy="266888"/>
                <wp:effectExtent xmlns:wp="http://schemas.openxmlformats.org/drawingml/2006/wordprocessingDrawing" l="0" t="0" r="0" b="0"/>
                <wp:wrapNone xmlns:wp="http://schemas.openxmlformats.org/drawingml/2006/wordprocessingDrawing"/>
                <wp:docPr xmlns:wp="http://schemas.openxmlformats.org/drawingml/2006/wordprocessingDrawing" id="990496830" name="image7.png"/>
                <a:graphic xmlns:a="http://schemas.openxmlformats.org/drawingml/2006/main">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image7.png"/>
                        <pic:cNvPicPr xmlns:pic="http://schemas.openxmlformats.org/drawingml/2006/picture" preferRelativeResize="0"/>
                      </pic:nvPicPr>
                      <pic:blipFill xmlns:pic="http://schemas.openxmlformats.org/drawingml/2006/picture">
                        <a:blip xmlns:r="http://schemas.openxmlformats.org/officeDocument/2006/relationships" xmlns:a="http://schemas.openxmlformats.org/drawingml/2006/main" r:embed="rId11"/>
                        <a:srcRect xmlns:a="http://schemas.openxmlformats.org/drawingml/2006/main" l="0" t="0" r="0" b="0"/>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95918" cy="266888"/>
                        </a:xfrm>
                        <a:prstGeom xmlns:a="http://schemas.openxmlformats.org/drawingml/2006/main" prst="rect"/>
                        <a:ln xmlns:a="http://schemas.openxmlformats.org/drawingml/2006/main"/>
                      </pic:spPr>
                    </pic:pic>
                  </a:graphicData>
                </a:graphic>
              </wp:anchor>
            </w:drawing>
          </mc:Fallback>
        </mc:AlternateContent>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18568F1F" wp14:editId="7777777">
                <wp:simplePos x="0" y="0"/>
                <wp:positionH relativeFrom="column">
                  <wp:posOffset>904789</wp:posOffset>
                </wp:positionH>
                <wp:positionV relativeFrom="paragraph">
                  <wp:posOffset>50130</wp:posOffset>
                </wp:positionV>
                <wp:extent cx="848497" cy="666750"/>
                <wp:effectExtent l="0" t="0" r="27940" b="19050"/>
                <wp:wrapNone/>
                <wp:docPr id="4" name=""/>
                <a:graphic>
                  <a:graphicData uri="http://schemas.microsoft.com/office/word/2010/wordprocessingShape">
                    <wps:wsp>
                      <wps:cNvSpPr txBox="1"/>
                      <wps:spPr>
                        <a:xfrm>
                          <a:off x="0" y="0"/>
                          <a:ext cx="848497" cy="666750"/>
                        </a:xfrm>
                        <a:prstGeom prst="rect">
                          <a:avLst/>
                        </a:prstGeom>
                        <a:solidFill>
                          <a:schemeClr val="lt1"/>
                        </a:solidFill>
                        <a:ln w="6350">
                          <a:solidFill>
                            <a:prstClr val="black"/>
                          </a:solidFill>
                        </a:ln>
                      </wps:spPr>
                      <wps:txbx>
                        <w:txbxContent>
                          <w:p xmlns:wp14="http://schemas.microsoft.com/office/word/2010/wordml" w:rsidRPr="00EE69BD" w:rsidR="003A534D" w:rsidDel="00000000" w:rsidP="003A534D" w:rsidRDefault="003A534D" w14:paraId="0C63A24A" wp14:textId="77777777">
                            <w:pPr>
                              <w:rPr>
                                <w:color w:val="538135" w:themeColor="accent6" w:themeShade="0000BF"/>
                              </w:rPr>
                            </w:pPr>
                            <w:r w:rsidRPr="00EE69BD" w:rsidDel="00000000" w:rsidR="00000000">
                              <w:rPr>
                                <w:color w:val="538135" w:themeColor="accent6" w:themeShade="0000BF"/>
                              </w:rPr>
                              <w:t xml:space="preserve">Desviación inicial o primaria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0E90D31D" wp14:editId="7777777">
                <wp:simplePos x="0" y="0"/>
                <wp:positionH relativeFrom="column">
                  <wp:posOffset>904789</wp:posOffset>
                </wp:positionH>
                <wp:positionV relativeFrom="paragraph">
                  <wp:posOffset>50130</wp:posOffset>
                </wp:positionV>
                <wp:extent cx="876437" cy="685800"/>
                <wp:effectExtent l="0" t="0" r="0" b="0"/>
                <wp:wrapNone/>
                <wp:docPr id="1697915683" name="image5.png"/>
                <a:graphic>
                  <a:graphicData uri="http://schemas.openxmlformats.org/drawingml/2006/picture">
                    <pic:pic>
                      <pic:nvPicPr>
                        <pic:cNvPr id="0" name="image5.png"/>
                        <pic:cNvPicPr preferRelativeResize="0"/>
                      </pic:nvPicPr>
                      <pic:blipFill>
                        <a:blip r:embed="rId12"/>
                        <a:srcRect l="0" t="0" r="0" b="0"/>
                        <a:stretch>
                          <a:fillRect/>
                        </a:stretch>
                      </pic:blipFill>
                      <pic:spPr>
                        <a:xfrm>
                          <a:off x="0" y="0"/>
                          <a:ext cx="876437" cy="685800"/>
                        </a:xfrm>
                        <a:prstGeom prst="rect"/>
                        <a:ln/>
                      </pic:spPr>
                    </pic:pic>
                  </a:graphicData>
                </a:graphic>
              </wp:anchor>
            </w:drawing>
          </mc:Fallback>
        </mc:AlternateContent>
      </w:r>
      <w:r w:rsidRPr="00000000" w:rsidDel="00000000" w:rsidR="00000000">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40" behindDoc="0" locked="0" layoutInCell="1" hidden="0" allowOverlap="1" wp14:anchorId="1A71E62F" wp14:editId="07777777">
                <wp:simplePos x="0" y="0"/>
                <wp:positionH relativeFrom="column">
                  <wp:posOffset>1893381</wp:posOffset>
                </wp:positionH>
                <wp:positionV relativeFrom="paragraph">
                  <wp:posOffset>231140</wp:posOffset>
                </wp:positionV>
                <wp:extent cx="329783" cy="238846"/>
                <wp:effectExtent l="0" t="19050" r="32385" b="46990"/>
                <wp:wrapNone/>
                <wp:docPr id="8" name=""/>
                <wp:cNvGraphicFramePr/>
                <a:graphic xmlns:a="http://schemas.openxmlformats.org/drawingml/2006/main">
                  <a:graphicData uri="http://schemas.microsoft.com/office/word/2010/wordprocessingShape">
                    <wps:wsp xmlns:wps="http://schemas.microsoft.com/office/word/2010/wordprocessingShape">
                      <wps:cNvSpPr/>
                      <wps:spPr>
                        <a:xfrm>
                          <a:off x="0" y="0"/>
                          <a:ext cx="329783" cy="23884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a="http://schemas.openxmlformats.org/drawingml/2006/main">
            <w:drawing xmlns:w="http://schemas.openxmlformats.org/wordprocessingml/2006/main">
              <wp:anchor xmlns:wp14="http://schemas.microsoft.com/office/word/2010/wordprocessingDrawing" xmlns:wp="http://schemas.openxmlformats.org/drawingml/2006/wordprocessingDrawing" distT="0" distB="0" distL="114300" distR="114300" simplePos="0" relativeHeight="0" behindDoc="0" locked="0" layoutInCell="1" hidden="0" allowOverlap="1" wp14:anchorId="2A0AD8E3" wp14:editId="7777777">
                <wp:simplePos xmlns:wp="http://schemas.openxmlformats.org/drawingml/2006/wordprocessingDrawing" x="0" y="0"/>
                <wp:positionH xmlns:wp="http://schemas.openxmlformats.org/drawingml/2006/wordprocessingDrawing" relativeFrom="column">
                  <wp:posOffset xmlns:wp="http://schemas.openxmlformats.org/drawingml/2006/wordprocessingDrawing">1893381</wp:posOffset>
                </wp:positionH>
                <wp:positionV xmlns:wp="http://schemas.openxmlformats.org/drawingml/2006/wordprocessingDrawing" relativeFrom="paragraph">
                  <wp:posOffset xmlns:wp="http://schemas.openxmlformats.org/drawingml/2006/wordprocessingDrawing">231140</wp:posOffset>
                </wp:positionV>
                <wp:extent xmlns:wp="http://schemas.openxmlformats.org/drawingml/2006/wordprocessingDrawing" cx="533400" cy="304886"/>
                <wp:effectExtent xmlns:wp="http://schemas.openxmlformats.org/drawingml/2006/wordprocessingDrawing" l="0" t="0" r="0" b="0"/>
                <wp:wrapNone xmlns:wp="http://schemas.openxmlformats.org/drawingml/2006/wordprocessingDrawing"/>
                <wp:docPr xmlns:wp="http://schemas.openxmlformats.org/drawingml/2006/wordprocessingDrawing" id="1905493297" name="image9.png"/>
                <a:graphic xmlns:a="http://schemas.openxmlformats.org/drawingml/2006/main">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image9.png"/>
                        <pic:cNvPicPr xmlns:pic="http://schemas.openxmlformats.org/drawingml/2006/picture" preferRelativeResize="0"/>
                      </pic:nvPicPr>
                      <pic:blipFill xmlns:pic="http://schemas.openxmlformats.org/drawingml/2006/picture">
                        <a:blip xmlns:r="http://schemas.openxmlformats.org/officeDocument/2006/relationships" xmlns:a="http://schemas.openxmlformats.org/drawingml/2006/main" r:embed="rId13"/>
                        <a:srcRect xmlns:a="http://schemas.openxmlformats.org/drawingml/2006/main" l="0" t="0" r="0" b="0"/>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533400" cy="304886"/>
                        </a:xfrm>
                        <a:prstGeom xmlns:a="http://schemas.openxmlformats.org/drawingml/2006/main" prst="rect"/>
                        <a:ln xmlns:a="http://schemas.openxmlformats.org/drawingml/2006/main"/>
                      </pic:spPr>
                    </pic:pic>
                  </a:graphicData>
                </a:graphic>
              </wp:anchor>
            </w:drawing>
          </mc:Fallback>
        </mc:AlternateContent>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2F009445" wp14:editId="7777777">
                <wp:simplePos x="0" y="0"/>
                <wp:positionH relativeFrom="column">
                  <wp:posOffset>2552374</wp:posOffset>
                </wp:positionH>
                <wp:positionV relativeFrom="paragraph">
                  <wp:posOffset>8890</wp:posOffset>
                </wp:positionV>
                <wp:extent cx="914400" cy="815546"/>
                <wp:effectExtent l="0" t="0" r="19050" b="22860"/>
                <wp:wrapNone/>
                <wp:docPr id="7" name=""/>
                <a:graphic>
                  <a:graphicData uri="http://schemas.microsoft.com/office/word/2010/wordprocessingShape">
                    <wps:wsp>
                      <wps:cNvSpPr txBox="1"/>
                      <wps:spPr>
                        <a:xfrm>
                          <a:off x="0" y="0"/>
                          <a:ext cx="914400" cy="815546"/>
                        </a:xfrm>
                        <a:prstGeom prst="rect">
                          <a:avLst/>
                        </a:prstGeom>
                        <a:solidFill>
                          <a:schemeClr val="lt1"/>
                        </a:solidFill>
                        <a:ln w="6350">
                          <a:solidFill>
                            <a:prstClr val="black"/>
                          </a:solidFill>
                        </a:ln>
                      </wps:spPr>
                      <wps:txbx>
                        <w:txbxContent>
                          <w:p xmlns:wp14="http://schemas.microsoft.com/office/word/2010/wordml" w:rsidRPr="00EE69BD" w:rsidR="003A534D" w:rsidDel="00000000" w:rsidP="003A534D" w:rsidRDefault="003A534D" w14:paraId="3E2D9A4A" wp14:textId="77777777">
                            <w:pPr>
                              <w:rPr>
                                <w:color w:val="538135" w:themeColor="accent6" w:themeShade="0000BF"/>
                              </w:rPr>
                            </w:pPr>
                            <w:r w:rsidRPr="00EE69BD" w:rsidDel="00000000" w:rsidR="00000000">
                              <w:rPr>
                                <w:color w:val="538135" w:themeColor="accent6" w:themeShade="0000BF"/>
                              </w:rPr>
                              <w:t>Etiqueta oficial de desviado/ delincuente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777E0F78" wp14:editId="7777777">
                <wp:simplePos x="0" y="0"/>
                <wp:positionH relativeFrom="column">
                  <wp:posOffset>2552374</wp:posOffset>
                </wp:positionH>
                <wp:positionV relativeFrom="paragraph">
                  <wp:posOffset>8890</wp:posOffset>
                </wp:positionV>
                <wp:extent cx="933450" cy="838406"/>
                <wp:effectExtent l="0" t="0" r="0" b="0"/>
                <wp:wrapNone/>
                <wp:docPr id="1544804679" name="image8.png"/>
                <a:graphic>
                  <a:graphicData uri="http://schemas.openxmlformats.org/drawingml/2006/picture">
                    <pic:pic>
                      <pic:nvPicPr>
                        <pic:cNvPr id="0" name="image8.png"/>
                        <pic:cNvPicPr preferRelativeResize="0"/>
                      </pic:nvPicPr>
                      <pic:blipFill>
                        <a:blip r:embed="rId14"/>
                        <a:srcRect l="0" t="0" r="0" b="0"/>
                        <a:stretch>
                          <a:fillRect/>
                        </a:stretch>
                      </pic:blipFill>
                      <pic:spPr>
                        <a:xfrm>
                          <a:off x="0" y="0"/>
                          <a:ext cx="933450" cy="838406"/>
                        </a:xfrm>
                        <a:prstGeom prst="rect"/>
                        <a:ln/>
                      </pic:spPr>
                    </pic:pic>
                  </a:graphicData>
                </a:graphic>
              </wp:anchor>
            </w:drawing>
          </mc:Fallback>
        </mc:AlternateContent>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027A0402" wp14:editId="7777777">
                <wp:simplePos x="0" y="0"/>
                <wp:positionH relativeFrom="column">
                  <wp:posOffset>3590565</wp:posOffset>
                </wp:positionH>
                <wp:positionV relativeFrom="paragraph">
                  <wp:posOffset>222884</wp:posOffset>
                </wp:positionV>
                <wp:extent cx="461319" cy="274423"/>
                <wp:effectExtent l="0" t="19050" r="34290" b="30480"/>
                <wp:wrapNone/>
                <wp:docPr id="2" name=""/>
                <a:graphic>
                  <a:graphicData uri="http://schemas.microsoft.com/office/word/2010/wordprocessingShape">
                    <wps:wsp>
                      <wps:cNvSpPr/>
                      <wps:spPr>
                        <a:xfrm>
                          <a:off x="0" y="0"/>
                          <a:ext cx="461319" cy="27442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4B1A0880" wp14:editId="7777777">
                <wp:simplePos x="0" y="0"/>
                <wp:positionH relativeFrom="column">
                  <wp:posOffset>3590565</wp:posOffset>
                </wp:positionH>
                <wp:positionV relativeFrom="paragraph">
                  <wp:posOffset>222884</wp:posOffset>
                </wp:positionV>
                <wp:extent cx="495609" cy="323953"/>
                <wp:effectExtent l="0" t="0" r="0" b="0"/>
                <wp:wrapNone/>
                <wp:docPr id="240980180" name="image3.png"/>
                <a:graphic>
                  <a:graphicData uri="http://schemas.openxmlformats.org/drawingml/2006/picture">
                    <pic:pic>
                      <pic:nvPicPr>
                        <pic:cNvPr id="0" name="image3.png"/>
                        <pic:cNvPicPr preferRelativeResize="0"/>
                      </pic:nvPicPr>
                      <pic:blipFill>
                        <a:blip r:embed="rId15"/>
                        <a:srcRect l="0" t="0" r="0" b="0"/>
                        <a:stretch>
                          <a:fillRect/>
                        </a:stretch>
                      </pic:blipFill>
                      <pic:spPr>
                        <a:xfrm>
                          <a:off x="0" y="0"/>
                          <a:ext cx="495609" cy="323953"/>
                        </a:xfrm>
                        <a:prstGeom prst="rect"/>
                        <a:ln/>
                      </pic:spPr>
                    </pic:pic>
                  </a:graphicData>
                </a:graphic>
              </wp:anchor>
            </w:drawing>
          </mc:Fallback>
        </mc:AlternateContent>
      </w:r>
      <w:r w:rsidRPr="00000000" w:rsidDel="00000000" w:rsidR="00000000">
        <mc:AlternateContent>
          <mc:Choice Requires="wps">
            <w:drawing>
              <wp:anchor xmlns:wp14="http://schemas.microsoft.com/office/word/2010/wordprocessingDrawing" distT="0" distB="0" distL="114300" distR="114300" simplePos="0" relativeHeight="0" behindDoc="0" locked="0" layoutInCell="1" hidden="0" allowOverlap="1" wp14:anchorId="65B21BC0" wp14:editId="7777777">
                <wp:simplePos x="0" y="0"/>
                <wp:positionH relativeFrom="column">
                  <wp:posOffset>4166338</wp:posOffset>
                </wp:positionH>
                <wp:positionV relativeFrom="paragraph">
                  <wp:posOffset>8890</wp:posOffset>
                </wp:positionV>
                <wp:extent cx="897924" cy="972065"/>
                <wp:effectExtent l="0" t="0" r="16510" b="19050"/>
                <wp:wrapNone/>
                <wp:docPr id="1" name=""/>
                <a:graphic>
                  <a:graphicData uri="http://schemas.microsoft.com/office/word/2010/wordprocessingShape">
                    <wps:wsp>
                      <wps:cNvSpPr txBox="1"/>
                      <wps:spPr>
                        <a:xfrm>
                          <a:off x="0" y="0"/>
                          <a:ext cx="897924" cy="972065"/>
                        </a:xfrm>
                        <a:prstGeom prst="rect">
                          <a:avLst/>
                        </a:prstGeom>
                        <a:solidFill>
                          <a:schemeClr val="lt1"/>
                        </a:solidFill>
                        <a:ln w="6350">
                          <a:solidFill>
                            <a:prstClr val="black"/>
                          </a:solidFill>
                        </a:ln>
                      </wps:spPr>
                      <wps:txbx>
                        <w:txbxContent>
                          <w:p xmlns:wp14="http://schemas.microsoft.com/office/word/2010/wordml" w:rsidRPr="00000000" w:rsidR="003A534D" w:rsidDel="00000000" w:rsidP="003A534D" w:rsidRDefault="003A534D" w14:paraId="6E63606E" wp14:textId="77777777">
                            <w:r w:rsidRPr="00EE69BD" w:rsidDel="00000000" w:rsidR="00000000">
                              <w:rPr>
                                <w:color w:val="538135" w:themeColor="accent6" w:themeShade="0000BF"/>
                              </w:rPr>
                              <w:t>Propia imagen de desviado/ delincuente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2A56291B" wp14:editId="7777777">
                <wp:simplePos x="0" y="0"/>
                <wp:positionH relativeFrom="column">
                  <wp:posOffset>4166338</wp:posOffset>
                </wp:positionH>
                <wp:positionV relativeFrom="paragraph">
                  <wp:posOffset>8890</wp:posOffset>
                </wp:positionV>
                <wp:extent cx="914434" cy="991115"/>
                <wp:effectExtent l="0" t="0" r="0" b="0"/>
                <wp:wrapNone/>
                <wp:docPr id="1083443800" name="image2.png"/>
                <a:graphic>
                  <a:graphicData uri="http://schemas.openxmlformats.org/drawingml/2006/picture">
                    <pic:pic>
                      <pic:nvPicPr>
                        <pic:cNvPr id="0" name="image2.png"/>
                        <pic:cNvPicPr preferRelativeResize="0"/>
                      </pic:nvPicPr>
                      <pic:blipFill>
                        <a:blip r:embed="rId16"/>
                        <a:srcRect l="0" t="0" r="0" b="0"/>
                        <a:stretch>
                          <a:fillRect/>
                        </a:stretch>
                      </pic:blipFill>
                      <pic:spPr>
                        <a:xfrm>
                          <a:off x="0" y="0"/>
                          <a:ext cx="914434" cy="991115"/>
                        </a:xfrm>
                        <a:prstGeom prst="rect"/>
                        <a:ln/>
                      </pic:spPr>
                    </pic:pic>
                  </a:graphicData>
                </a:graphic>
              </wp:anchor>
            </w:drawing>
          </mc:Fallback>
        </mc:AlternateContent>
      </w:r>
      <w:r w:rsidR="36BC6A4D">
        <w:rPr/>
        <w:t/>
      </w:r>
    </w:p>
    <w:p xmlns:wp14="http://schemas.microsoft.com/office/word/2010/wordml" w:rsidRPr="00000000" w:rsidR="00000000" w:rsidDel="00000000" w:rsidP="36BC6A4D" w:rsidRDefault="00000000" w14:paraId="00000027" wp14:textId="5F999B60">
      <w:pPr>
        <w:pStyle w:val="Normal"/>
        <w:spacing w:line="480" w:lineRule="auto"/>
        <w:jc w:val="both"/>
      </w:pPr>
    </w:p>
    <w:p xmlns:wp14="http://schemas.microsoft.com/office/word/2010/wordml" w:rsidRPr="00000000" w:rsidR="00000000" w:rsidDel="00000000" w:rsidP="36BC6A4D" w:rsidRDefault="00000000" w14:paraId="00000028" wp14:textId="1F9DBA85">
      <w:pPr>
        <w:pStyle w:val="Normal"/>
        <w:keepNext w:val="0"/>
        <w:keepLines w:val="0"/>
        <w:widowControl w:val="1"/>
        <w:pBdr>
          <w:top w:val="nil" w:sz="0" w:space="0"/>
          <w:left w:val="nil" w:sz="0" w:space="0"/>
          <w:bottom w:val="nil" w:sz="0" w:space="0"/>
          <w:right w:val="nil" w:sz="0" w:space="0"/>
          <w:between w:val="nil" w:sz="0" w:space="0"/>
        </w:pBdr>
        <w:spacing w:before="280" w:after="280" w:line="480" w:lineRule="auto"/>
        <w:ind w:left="0" w:right="0" w:firstLine="0"/>
        <w:jc w:val="both"/>
      </w:pPr>
      <w:r w:rsidR="36BC6A4D">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14CAE4CD" wp14:editId="07777777">
                <wp:extent xmlns:wp="http://schemas.openxmlformats.org/drawingml/2006/wordprocessingDrawing" cx="591791" cy="263525"/>
                <wp:effectExtent xmlns:wp="http://schemas.openxmlformats.org/drawingml/2006/wordprocessingDrawing" l="0" t="19050" r="37465" b="41275"/>
                <wp:docPr xmlns:wp="http://schemas.openxmlformats.org/drawingml/2006/wordprocessingDrawing" id="918317645" name=""/>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591791" cy="2635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pic="http://schemas.openxmlformats.org/drawingml/2006/picture" xmlns:a="http://schemas.openxmlformats.org/drawingml/2006/main" xmlns:mc="http://schemas.openxmlformats.org/markup-compatibility/2006">
            <w:drawing xmlns:w="http://schemas.openxmlformats.org/wordprocessingml/2006/main">
              <wp:anchor xmlns:wp14="http://schemas.microsoft.com/office/word/2010/wordprocessingDrawing" xmlns:wp="http://schemas.openxmlformats.org/drawingml/2006/wordprocessingDrawing" distT="0" distB="0" distL="114300" distR="114300" simplePos="0" relativeHeight="0" behindDoc="0" locked="0" layoutInCell="1" hidden="0" allowOverlap="1" wp14:anchorId="607444F4" wp14:editId="7777777">
                <wp:simplePos xmlns:wp="http://schemas.openxmlformats.org/drawingml/2006/wordprocessingDrawing" x="0" y="0"/>
                <wp:positionH xmlns:wp="http://schemas.openxmlformats.org/drawingml/2006/wordprocessingDrawing" relativeFrom="column">
                  <wp:posOffset xmlns:wp="http://schemas.openxmlformats.org/drawingml/2006/wordprocessingDrawing">5225415</wp:posOffset>
                </wp:positionH>
                <wp:positionV xmlns:wp="http://schemas.openxmlformats.org/drawingml/2006/wordprocessingDrawing" relativeFrom="paragraph">
                  <wp:posOffset xmlns:wp="http://schemas.openxmlformats.org/drawingml/2006/wordprocessingDrawing">233680</wp:posOffset>
                </wp:positionV>
                <wp:extent xmlns:wp="http://schemas.openxmlformats.org/drawingml/2006/wordprocessingDrawing" cx="419100" cy="323850"/>
                <wp:effectExtent xmlns:wp="http://schemas.openxmlformats.org/drawingml/2006/wordprocessingDrawing" l="0" t="0" r="0" b="0"/>
                <wp:wrapNone xmlns:wp="http://schemas.openxmlformats.org/drawingml/2006/wordprocessingDrawing"/>
                <wp:docPr xmlns:wp="http://schemas.openxmlformats.org/drawingml/2006/wordprocessingDrawing" id="425577916" name="image4.png"/>
                <a:graphic xmlns:a="http://schemas.openxmlformats.org/drawingml/2006/main">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image4.png"/>
                        <pic:cNvPicPr xmlns:pic="http://schemas.openxmlformats.org/drawingml/2006/picture" preferRelativeResize="0"/>
                      </pic:nvPicPr>
                      <pic:blipFill xmlns:pic="http://schemas.openxmlformats.org/drawingml/2006/picture">
                        <a:blip xmlns:r="http://schemas.openxmlformats.org/officeDocument/2006/relationships" xmlns:a="http://schemas.openxmlformats.org/drawingml/2006/main" r:embed="rId17"/>
                        <a:srcRect xmlns:a="http://schemas.openxmlformats.org/drawingml/2006/main" l="0" t="0" r="0" b="0"/>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419100" cy="323850"/>
                        </a:xfrm>
                        <a:prstGeom xmlns:a="http://schemas.openxmlformats.org/drawingml/2006/main" prst="rect"/>
                        <a:ln xmlns:a="http://schemas.openxmlformats.org/drawingml/2006/main"/>
                      </pic:spPr>
                    </pic:pic>
                  </a:graphicData>
                </a:graphic>
              </wp:anchor>
            </w:drawing>
          </mc:Fallback>
        </mc:AlternateContent>
      </w:r>
      <w:r w:rsidR="36BC6A4D">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6FFA10F8" wp14:editId="7777777">
                <wp:extent xmlns:wp="http://schemas.openxmlformats.org/drawingml/2006/wordprocessingDrawing" cx="938530" cy="914400"/>
                <wp:effectExtent xmlns:wp="http://schemas.openxmlformats.org/drawingml/2006/wordprocessingDrawing" l="0" t="0" r="13970" b="19050"/>
                <wp:docPr xmlns:wp="http://schemas.openxmlformats.org/drawingml/2006/wordprocessingDrawing" id="942919444" name=""/>
                <a:graphic xmlns:a="http://schemas.openxmlformats.org/drawingml/2006/main">
                  <a:graphicData uri="http://schemas.microsoft.com/office/word/2010/wordprocessingShape">
                    <wps:wsp xmlns:wps="http://schemas.microsoft.com/office/word/2010/wordprocessingShape">
                      <wps:cNvSpPr txBox="1"/>
                      <wps:spPr>
                        <a:xfrm>
                          <a:off x="0" y="0"/>
                          <a:ext cx="938530" cy="914400"/>
                        </a:xfrm>
                        <a:prstGeom prst="rect">
                          <a:avLst/>
                        </a:prstGeom>
                        <a:solidFill>
                          <a:schemeClr val="lt1"/>
                        </a:solidFill>
                        <a:ln w="6350">
                          <a:solidFill>
                            <a:prstClr val="black"/>
                          </a:solidFill>
                        </a:ln>
                      </wps:spPr>
                      <wps:txbx>
                        <w:txbxContent xmlns:w="http://schemas.openxmlformats.org/wordprocessingml/2006/main">
                          <w:p xmlns:wp14="http://schemas.microsoft.com/office/word/2010/wordml" xmlns:w14="http://schemas.microsoft.com/office/word/2010/wordml" w:rsidRPr="00813814" w:rsidR="003A534D" w:rsidDel="00000000" w:rsidP="003A534D" w:rsidRDefault="003A534D" w14:paraId="43B6289E" wp14:textId="77777777">
                            <w:pPr>
                              <w:rPr>
                                <w:color w:val="538135" w:themeColor="accent6" w:themeShade="0000BF"/>
                              </w:rPr>
                            </w:pPr>
                            <w:r w:rsidRPr="00813814" w:rsidDel="00000000" w:rsidR="00000000">
                              <w:rPr>
                                <w:color w:val="538135" w:themeColor="accent6" w:themeShade="0000BF"/>
                              </w:rPr>
                              <w:t>Implicación continua en desviación o delincuencia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mc="http://schemas.openxmlformats.org/markup-compatibility/2006">
            <w:drawing xmlns:w="http://schemas.openxmlformats.org/wordprocessingml/2006/main">
              <wp:anchor xmlns:wp14="http://schemas.microsoft.com/office/word/2010/wordprocessingDrawing" xmlns:wp="http://schemas.openxmlformats.org/drawingml/2006/wordprocessingDrawing" distT="0" distB="0" distL="114300" distR="114300" simplePos="0" relativeHeight="0" behindDoc="0" locked="0" layoutInCell="1" hidden="0" allowOverlap="1" wp14:anchorId="3DE925E5" wp14:editId="7777777">
                <wp:simplePos x="0" y="0"/>
                <wp:positionH relativeFrom="column">
                  <wp:posOffset>3</wp:posOffset>
                </wp:positionH>
                <wp:positionV relativeFrom="paragraph">
                  <wp:posOffset>9353</wp:posOffset>
                </wp:positionV>
                <wp:extent cx="952500" cy="933450"/>
                <wp:effectExtent l="0" t="0" r="0" b="0"/>
                <wp:wrapNone/>
                <wp:docPr id="846020060" name="image6.png"/>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xmlns:r="http://schemas.openxmlformats.org/officeDocument/2006/relationships" r:embed="rId9"/>
                        <a:srcRect l="0" t="0" r="0" b="0"/>
                        <a:stretch>
                          <a:fillRect/>
                        </a:stretch>
                      </pic:blipFill>
                      <pic:spPr>
                        <a:xfrm>
                          <a:off x="0" y="0"/>
                          <a:ext cx="952500" cy="933450"/>
                        </a:xfrm>
                        <a:prstGeom prst="rect"/>
                        <a:ln/>
                      </pic:spPr>
                    </pic:pic>
                  </a:graphicData>
                </a:graphic>
              </wp:anchor>
            </w:drawing>
          </mc:Fallback>
        </mc:AlternateContent>
      </w:r>
    </w:p>
    <w:p xmlns:wp14="http://schemas.microsoft.com/office/word/2010/wordml" w:rsidRPr="00000000" w:rsidR="00000000" w:rsidDel="00000000" w:rsidP="00000000" w:rsidRDefault="00000000" w14:paraId="00000029" wp14:textId="77777777">
      <w:pPr>
        <w:keepNext w:val="0"/>
        <w:keepLines w:val="0"/>
        <w:widowControl w:val="1"/>
        <w:pBdr>
          <w:top w:val="nil" w:sz="0" w:space="0"/>
          <w:left w:val="nil" w:sz="0" w:space="0"/>
          <w:bottom w:val="nil" w:sz="0" w:space="0"/>
          <w:right w:val="nil" w:sz="0" w:space="0"/>
          <w:between w:val="nil" w:sz="0" w:space="0"/>
        </w:pBdr>
        <w:shd w:val="clear" w:fill="ffffff"/>
        <w:spacing w:before="280" w:after="28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Matza y Sykes (2008), destacan que muchos autores relacionan que el comportamiento delictivo es una conducta que se aprende en el proceso de interacción. Estos autores desarrollan las técnicas de neutralización</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w:t>
      </w: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las cuales consideran que entre más información se obtenga de estas, sus orígenes y sus consecuencias, servirán para comprender tanto la delincuencia juvenil como la desviación de los sistemas normativos.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La primera de estas técnicas es la negación de la responsabilidad, la cual señalan los autores que son construcciones culturales</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y</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mientras que el delincuente no se defina a sí mismo como tal, la censura por parte de los otros no tiene efectividad sobre la persona. En este caso, algunos medios han señalado que el menor aceptó los cargos de homicidio y porte ilegal de armas, pero esta negación depende de algo subjetivo e interno de la persona, de si este se reputa como responsable del hecho.</w:t>
      </w:r>
    </w:p>
    <w:p xmlns:wp14="http://schemas.microsoft.com/office/word/2010/wordml" w:rsidRPr="00000000" w:rsidR="00000000" w:rsidDel="00000000" w:rsidP="00000000" w:rsidRDefault="00000000" w14:paraId="0000002A" wp14:textId="77777777">
      <w:pPr>
        <w:keepNext w:val="0"/>
        <w:keepLines w:val="0"/>
        <w:widowControl w:val="1"/>
        <w:pBdr>
          <w:top w:val="nil" w:sz="0" w:space="0"/>
          <w:left w:val="nil" w:sz="0" w:space="0"/>
          <w:bottom w:val="nil" w:sz="0" w:space="0"/>
          <w:right w:val="nil" w:sz="0" w:space="0"/>
          <w:between w:val="nil" w:sz="0" w:space="0"/>
        </w:pBdr>
        <w:shd w:val="clear" w:fill="ffffff"/>
        <w:spacing w:before="280" w:after="28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La segunda, consiste en la negación del daño, que se centra en el daño generado por la comisión de un delito. Por lo que consideran Matza y Sykes, que el delincuente de forma confusa, piensa que su comportamiento aunque contradice la ley no ocasiona daños relevantes. En este caso, se puede considerar que el menor está implicado en aproximadamente doce homicidios, por lo que se puede dudar del valor que posiblemente para el implica la vida. La negación de la víctima es la tercera, en la cual el delincuente asume el rol del vengador y justifica su agresión, en razón a que la víctima se trasforma en una persona que merece dicho daño.</w:t>
      </w:r>
    </w:p>
    <w:p xmlns:wp14="http://schemas.microsoft.com/office/word/2010/wordml" w:rsidRPr="00000000" w:rsidR="00000000" w:rsidDel="00000000" w:rsidP="00000000" w:rsidRDefault="00000000" w14:paraId="0000002B" wp14:textId="77777777">
      <w:pPr>
        <w:keepNext w:val="0"/>
        <w:keepLines w:val="0"/>
        <w:widowControl w:val="1"/>
        <w:pBdr>
          <w:top w:val="nil" w:sz="0" w:space="0"/>
          <w:left w:val="nil" w:sz="0" w:space="0"/>
          <w:bottom w:val="nil" w:sz="0" w:space="0"/>
          <w:right w:val="nil" w:sz="0" w:space="0"/>
          <w:between w:val="nil" w:sz="0" w:space="0"/>
        </w:pBdr>
        <w:shd w:val="clear" w:fill="ffffff"/>
        <w:spacing w:before="280" w:after="280" w:line="480" w:lineRule="auto"/>
        <w:ind w:left="0" w:right="0" w:firstLine="0"/>
        <w:jc w:val="both"/>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La cuarta, es la condena a quien condena, “el delincuente traslada el foco de atención desde sus propios actos desviados a los motivos y el comportamiento de quienes desaprueban su violación de la ley.” (Matza y Sykes, 2008).  Alegando el delincuente que las personas que representan a estas instituciones, son hipócritas, o desviados, trasladando el foco de atención a otras personas. En este caso, el menor podría por ejemplo mencionar los</w:t>
      </w:r>
      <w:r w:rsidRPr="00000000" w:rsidDel="00000000" w:rsidR="00000000">
        <w:rPr>
          <w:rFonts w:ascii="Arial" w:hAnsi="Arial" w:eastAsia="Arial" w:cs="Arial"/>
          <w:color w:val="0d0d0d"/>
          <w:sz w:val="24"/>
          <w:szCs w:val="24"/>
          <w:rtl w:val="0"/>
        </w:rPr>
        <w:t xml:space="preserve">,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aproximadamente, cuatro mil falsos positivos, que fueron ejecuciones extra judiciales, cometidas por parte del ejército colombiano. Finalmente, la apelación a lealtades superiores, que muchas veces el individuo cede a las demandas de grupos sociales más pequeños, por encima de las demandas de la mayoría de la sociedad, debido a que el delincuente pertenece dicho grupo, como en este caso lo es la banda delincuencial la torre, de la cual es parte el menor. Los autores destacan que muchas veces el delincuente puede enfrentarse a un dilema, debido que debe escoger entre violar la ley o colaborar en su grupo, pero debido a que consideran que las necesidades de su grupo son de carácter urgente y puede implicar una lealtad superior. Es decir “entre los reclamos de amistad y las obligaciones sociales de carácter general”. (SykesI &amp; Matza, 2008 )</w:t>
      </w:r>
    </w:p>
    <w:p xmlns:wp14="http://schemas.microsoft.com/office/word/2010/wordml" w:rsidRPr="00000000" w:rsidR="00000000" w:rsidDel="00000000" w:rsidP="00000000" w:rsidRDefault="00000000" w14:paraId="0000002C"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En forma de conclusión, la teoría del labeling approach demuestra el valor simbólico que genera en la identidad de una persona, ser catalogada como delincuente, sicario, asesino, o marginal. Debido a que el individuo realiza un proceso de adaptación, tolerancia o aceptación de dicho rotulo, donde debe modificar sus conductas y asumir el papel asignado socialmente por la comunidad; lo que necesariamente genera, que el sujeto etiquetado pierda su condición de persona, y se transfigure en un enemigo, que hace parte un grupo aparte, excluido de la sociedad. </w:t>
      </w:r>
    </w:p>
    <w:p xmlns:wp14="http://schemas.microsoft.com/office/word/2010/wordml" w:rsidRPr="00000000" w:rsidR="00000000" w:rsidDel="00000000" w:rsidP="00000000" w:rsidRDefault="00000000" w14:paraId="0000002D"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rtl w:val="0"/>
        </w:rPr>
        <w:t xml:space="preserve">Hay que destacar la frase de Eduardo Galeano, “los diarios, las radios y la televisión de Brasil frecuentemente definen a los delincuentes con un vocabulario que proviene de la medicina y de la zoología: virus, cáncer, infección social, animales, alimañas, insectos, fieras salvajes y también pequeñas fieras cuando se trata de niños. Los aludidos son siempre pobres.” (Galeano, pág. 51). Pero es justo cuestionar los orígenes de tal virus o infección, y confrontar la responsabilidad que todos y cada uno de nosotros tenemos como sociedad, y no simplemente dedicarnos a señalar y juzgar, si no analizar y cuestionar todas las aristas para que ese hombre, niño, o mujer, que se comportan como una “fiera, alimaña, o virus”, teniendo siempre presente, que es un ser humano igual que cualquiera de nosotros.</w:t>
      </w:r>
    </w:p>
    <w:p xmlns:wp14="http://schemas.microsoft.com/office/word/2010/wordml" w:rsidRPr="00000000" w:rsidR="00000000" w:rsidDel="00000000" w:rsidP="00000000" w:rsidRDefault="00000000" w14:paraId="0000002E" wp14:textId="77777777">
      <w:pPr>
        <w:spacing w:line="480" w:lineRule="auto"/>
        <w:jc w:val="both"/>
        <w:rPr>
          <w:rFonts w:ascii="Arial" w:hAnsi="Arial" w:eastAsia="Arial" w:cs="Arial"/>
          <w:color w:val="0d0d0d"/>
          <w:sz w:val="24"/>
          <w:szCs w:val="24"/>
        </w:rPr>
      </w:pPr>
      <w:r w:rsidRPr="00000000" w:rsidDel="00000000" w:rsidR="00000000">
        <w:rPr>
          <w:rFonts w:ascii="Arial" w:hAnsi="Arial" w:eastAsia="Arial" w:cs="Arial"/>
          <w:color w:val="0d0d0d"/>
          <w:sz w:val="24"/>
          <w:szCs w:val="24"/>
          <w:highlight w:val="white"/>
          <w:rtl w:val="0"/>
        </w:rPr>
        <w:t xml:space="preserve">Finalmente, un punto que es justo subrayar, es la influencia que en la actualidad ejercen los medios de comunicación, de forma colectiva sobre los individuos, debido a que pasamos a ser “animales políticos” a “animales mediáticos”. Ya que los medios de comunicación, de alguna forma describen los hechos que suceden a nuestro alrededor pero, como lo señala González y Domínguez (2004), lo que hacen es (re)construir activamente los sucesos “que constituyen una disfunción dentro del sistema social, por medio de una construcción social del miedo.” Por lo que las noticias se basan en un “sensacionalismo” que, generalmente, es amarillista y despiadado, que busca generar temor y pánico.</w:t>
      </w:r>
      <w:r w:rsidRPr="00000000" w:rsidDel="00000000" w:rsidR="00000000">
        <w:rPr>
          <w:rtl w:val="0"/>
        </w:rPr>
      </w:r>
    </w:p>
    <w:p xmlns:wp14="http://schemas.microsoft.com/office/word/2010/wordml" w:rsidRPr="00000000" w:rsidR="00000000" w:rsidDel="00000000" w:rsidP="00000000" w:rsidRDefault="00000000" w14:paraId="0000002F" wp14:textId="77777777">
      <w:pPr>
        <w:keepNext w:val="0"/>
        <w:keepLines w:val="0"/>
        <w:widowControl w:val="1"/>
        <w:pBdr>
          <w:top w:val="nil" w:sz="0" w:space="0"/>
          <w:left w:val="nil" w:sz="0" w:space="0"/>
          <w:bottom w:val="nil" w:sz="0" w:space="0"/>
          <w:right w:val="nil" w:sz="0" w:space="0"/>
          <w:between w:val="nil" w:sz="0" w:space="0"/>
        </w:pBdr>
        <w:shd w:val="clear" w:fill="ffffff"/>
        <w:spacing w:before="280" w:after="160" w:line="480" w:lineRule="auto"/>
        <w:ind w:left="0" w:right="0" w:firstLine="0"/>
        <w:jc w:val="both"/>
        <w:rPr>
          <w:rFonts w:ascii="Arial" w:hAnsi="Arial" w:eastAsia="Arial" w:cs="Arial"/>
          <w:b w:val="0"/>
          <w:i w:val="0"/>
          <w:smallCaps w:val="0"/>
          <w:strike w:val="0"/>
          <w:color w:val="0d0d0d"/>
          <w:sz w:val="24"/>
          <w:szCs w:val="24"/>
          <w:highlight w:val="white"/>
          <w:u w:val="none"/>
          <w:vertAlign w:val="baseline"/>
        </w:rPr>
      </w:pPr>
      <w:r w:rsidRPr="00000000" w:rsidDel="00000000" w:rsidR="00000000">
        <w:rPr>
          <w:rFonts w:ascii="Arial" w:hAnsi="Arial" w:eastAsia="Arial" w:cs="Arial"/>
          <w:b w:val="0"/>
          <w:i w:val="0"/>
          <w:smallCaps w:val="0"/>
          <w:strike w:val="0"/>
          <w:color w:val="0d0d0d"/>
          <w:sz w:val="24"/>
          <w:szCs w:val="24"/>
          <w:highlight w:val="white"/>
          <w:u w:val="none"/>
          <w:vertAlign w:val="baseline"/>
          <w:rtl w:val="0"/>
        </w:rPr>
        <w:t xml:space="preserve">Por lo que los estudios han demostrado que los medios de comunicación han creado y distorsionado, la imagen del público en general, en temas como la inseguridad, exagerando la realidad de los hechos, “de acuerdo con investigaciones socio-criminológicas, la apreciación de la población sobre el aumento de la inseguridad está más asociado al imaginario colectivo que a la objetividad del fenómeno” (González &amp; Domínguez, 2004). Y en conexión a la teoría expuesta, existen representaciones colectivas establecidas por los medios, tanto del entorno social, como de los delitos, y las personas que los cometen, es decir “los medios construyen la imagen estigmatizada del victimario” (González &amp; Domínguez, 2004). Lo que genera que se sigan perpetuando prejuicios físicos, y estereotipos delictivos, en grupos sociales específicos, ya sea, por su raza, condición social, o como vemos en este momento, por ser extranjeros.</w:t>
      </w:r>
    </w:p>
    <w:p xmlns:wp14="http://schemas.microsoft.com/office/word/2010/wordml" w:rsidRPr="00000000" w:rsidR="00000000" w:rsidDel="00000000" w:rsidP="00000000" w:rsidRDefault="00000000" w14:paraId="00000030" wp14:textId="77777777">
      <w:pPr>
        <w:pStyle w:val="Heading1"/>
        <w:spacing w:line="360" w:lineRule="auto"/>
        <w:jc w:val="center"/>
        <w:rPr>
          <w:rFonts w:ascii="Arial" w:hAnsi="Arial" w:eastAsia="Arial" w:cs="Arial"/>
          <w:color w:val="0d0d0d"/>
          <w:sz w:val="28"/>
          <w:szCs w:val="28"/>
        </w:rPr>
      </w:pPr>
      <w:r w:rsidRPr="00000000" w:rsidDel="00000000" w:rsidR="00000000">
        <w:rPr>
          <w:rFonts w:ascii="Arial" w:hAnsi="Arial" w:eastAsia="Arial" w:cs="Arial"/>
          <w:color w:val="0d0d0d"/>
          <w:sz w:val="28"/>
          <w:szCs w:val="28"/>
          <w:rtl w:val="0"/>
        </w:rPr>
        <w:t xml:space="preserve">Bibliografía</w:t>
      </w:r>
    </w:p>
    <w:p xmlns:wp14="http://schemas.microsoft.com/office/word/2010/wordml" w:rsidRPr="00000000" w:rsidR="00000000" w:rsidDel="00000000" w:rsidP="00000000" w:rsidRDefault="00000000" w14:paraId="00000031"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Arcadia, R. (12 de 08 de 2012).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Revista Arcadia.</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https://www.revistaarcadia.com/agenda/articulo/en-medellin-hay-muertos-que-duelen-mas-que-otros/77157</w:t>
      </w:r>
    </w:p>
    <w:p xmlns:wp14="http://schemas.microsoft.com/office/word/2010/wordml" w:rsidRPr="00000000" w:rsidR="00000000" w:rsidDel="00000000" w:rsidP="00000000" w:rsidRDefault="00000000" w14:paraId="00000032"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Baratta, A. (1982).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Criminología crítica y crítica del derecho penal.</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Argentina: Siglo XXI.</w:t>
      </w:r>
    </w:p>
    <w:p xmlns:wp14="http://schemas.microsoft.com/office/word/2010/wordml" w:rsidRPr="00000000" w:rsidR="00000000" w:rsidDel="00000000" w:rsidP="00000000" w:rsidRDefault="00000000" w14:paraId="00000033"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Becker, H. (1963).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Outsiders; studies in the sociology of deviance.</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http://www.derecho.unlz.edu.ar/web2017/wp-content/uploads/2017/05/howard.pdf</w:t>
      </w:r>
    </w:p>
    <w:p xmlns:wp14="http://schemas.microsoft.com/office/word/2010/wordml" w:rsidRPr="00000000" w:rsidR="00000000" w:rsidDel="00000000" w:rsidP="00000000" w:rsidRDefault="00000000" w14:paraId="00000034"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Bergalli, R. (1980).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Origen de las teorias de la reacción social.</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https://ddd.uab.cat/pub/papers/02102862n13/02102862n13p49.pdf </w:t>
      </w:r>
    </w:p>
    <w:p xmlns:wp14="http://schemas.microsoft.com/office/word/2010/wordml" w:rsidRPr="00000000" w:rsidR="00000000" w:rsidDel="00000000" w:rsidP="00000000" w:rsidRDefault="00000000" w14:paraId="00000035"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Castro, Á. O. (2001).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Curso de criminología.</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Bogotá: Universidad Externado de Colombia .</w:t>
      </w:r>
    </w:p>
    <w:p xmlns:wp14="http://schemas.microsoft.com/office/word/2010/wordml" w:rsidRPr="00000000" w:rsidR="00000000" w:rsidDel="00000000" w:rsidP="00000000" w:rsidRDefault="00000000" w14:paraId="00000036"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ELTIEMPO. (Abril de 2019). Este año han sido detenidos 3.618 menores de edad por delincuecia.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El tiempo</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https://www.eltiempo.com/justicia/delitos/cifra-de-menores-de-edad-detenidos-por-delincuencia-en-colombia-2019-de-enero-a-marzo-344260</w:t>
      </w:r>
    </w:p>
    <w:p xmlns:wp14="http://schemas.microsoft.com/office/word/2010/wordml" w:rsidRPr="00000000" w:rsidR="00000000" w:rsidDel="00000000" w:rsidP="00000000" w:rsidRDefault="00000000" w14:paraId="00000037"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Galeano, E. (1998).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Patas arriba: la escuela del mundo al revés.</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Siglo XXI.</w:t>
      </w:r>
    </w:p>
    <w:p xmlns:wp14="http://schemas.microsoft.com/office/word/2010/wordml" w:rsidRPr="00000000" w:rsidR="00000000" w:rsidDel="00000000" w:rsidP="00000000" w:rsidRDefault="00000000" w14:paraId="00000038"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Gamboa, M. P. (2014). ALGUNOS APORTES DE “ESTIGMA” (1963) AL PENSAMIENTO CRIMINOLÓGICO DE LA SEGUNDA MITAD DEL SIGLO XX.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Externado</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w:t>
      </w:r>
    </w:p>
    <w:p xmlns:wp14="http://schemas.microsoft.com/office/word/2010/wordml" w:rsidRPr="00000000" w:rsidR="00000000" w:rsidDel="00000000" w:rsidP="00000000" w:rsidRDefault="00000000" w14:paraId="00000039"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Goffman, E. (1963).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Stigma.</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https://sociologiaycultura.files.wordpress.com/2014/02/goffman-estigma.pdf</w:t>
      </w:r>
    </w:p>
    <w:p xmlns:wp14="http://schemas.microsoft.com/office/word/2010/wordml" w:rsidRPr="00000000" w:rsidR="00000000" w:rsidDel="00000000" w:rsidP="00000000" w:rsidRDefault="00000000" w14:paraId="0000003A"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González, A. V., &amp; Domínguez, M. (Mayo de 2004).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Los medios de comunicación desde la perspectiva del delincuente.</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SCIELO: http://ve.scielo.org/scielo.php?script=sci_arttext&amp;pid=S1012-15872004000200003</w:t>
      </w:r>
    </w:p>
    <w:p xmlns:wp14="http://schemas.microsoft.com/office/word/2010/wordml" w:rsidRPr="00000000" w:rsidR="00000000" w:rsidDel="00000000" w:rsidP="00000000" w:rsidRDefault="00000000" w14:paraId="0000003B"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Guemureman, S. (2006). Ni bandas ni pandillas: la miopía de las teorías de las subculturas para explicar la violencia juvenil.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Dialnet</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https://dialnet.unirioja.es/servlet/articulo?codigo=2569824 </w:t>
      </w:r>
    </w:p>
    <w:p xmlns:wp14="http://schemas.microsoft.com/office/word/2010/wordml" w:rsidRPr="00000000" w:rsidR="00000000" w:rsidDel="00000000" w:rsidP="00000000" w:rsidRDefault="00000000" w14:paraId="0000003C"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Larrauri, E. (1991).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La herencia de la criminología crítica .</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https://www.derechopenalenlared.com/libros/la_herencia_de_la_criminologia_critica_larrauri.pdf</w:t>
      </w:r>
    </w:p>
    <w:p xmlns:wp14="http://schemas.microsoft.com/office/word/2010/wordml" w:rsidRPr="00000000" w:rsidR="00000000" w:rsidDel="00000000" w:rsidP="00000000" w:rsidRDefault="00000000" w14:paraId="0000003D"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Publimetro. (20 de 02 de 2020). menores-edad-vez-mas-utilizados-las-bandas-criminale. Obtenido de https://www.publimetro.co/co/medellin/2020/02/20/menores-edad-vez-mas-utilizados-las-bandas-criminales.html</w:t>
      </w:r>
    </w:p>
    <w:p xmlns:wp14="http://schemas.microsoft.com/office/word/2010/wordml" w:rsidRPr="00000000" w:rsidR="00000000" w:rsidDel="00000000" w:rsidP="00000000" w:rsidRDefault="00000000" w14:paraId="0000003E"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Schrag, C. (1971).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Crime and Justice: American Style.</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Obtenido de https://files.eric.ed.gov/fulltext/ED067458.pdf</w:t>
      </w:r>
    </w:p>
    <w:p xmlns:wp14="http://schemas.microsoft.com/office/word/2010/wordml" w:rsidRPr="00000000" w:rsidR="00000000" w:rsidDel="00000000" w:rsidP="00000000" w:rsidRDefault="00000000" w14:paraId="0000003F"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SykesI, G. M., &amp; Matza, D. ( 2008 ). Técnicas de neutralización: una teoría de la delincuencia. Obtenido de http://www.scielo.br/scielo.php?pid=S0103-49792008000100012&amp;script=sci_arttext&amp;tlng=es</w:t>
      </w:r>
    </w:p>
    <w:p xmlns:wp14="http://schemas.microsoft.com/office/word/2010/wordml" w:rsidRPr="00000000" w:rsidR="00000000" w:rsidDel="00000000" w:rsidP="00000000" w:rsidRDefault="00000000" w14:paraId="00000040" wp14:textId="77777777">
      <w:pPr>
        <w:keepNext w:val="0"/>
        <w:keepLines w:val="0"/>
        <w:widowControl w:val="1"/>
        <w:pBdr>
          <w:top w:val="nil" w:sz="0" w:space="0"/>
          <w:left w:val="nil" w:sz="0" w:space="0"/>
          <w:bottom w:val="nil" w:sz="0" w:space="0"/>
          <w:right w:val="nil" w:sz="0" w:space="0"/>
          <w:between w:val="nil" w:sz="0" w:space="0"/>
        </w:pBdr>
        <w:shd w:val="clear" w:fill="auto"/>
        <w:spacing w:before="0" w:after="160" w:line="360" w:lineRule="auto"/>
        <w:ind w:left="720" w:right="0" w:hanging="720"/>
        <w:jc w:val="left"/>
        <w:rPr>
          <w:rFonts w:ascii="Arial" w:hAnsi="Arial" w:eastAsia="Arial" w:cs="Arial"/>
          <w:b w:val="0"/>
          <w:i w:val="0"/>
          <w:smallCaps w:val="0"/>
          <w:strike w:val="0"/>
          <w:color w:val="0d0d0d"/>
          <w:sz w:val="24"/>
          <w:szCs w:val="24"/>
          <w:u w:val="none"/>
          <w:shd w:val="clear" w:fill="auto"/>
          <w:vertAlign w:val="baseline"/>
        </w:rPr>
      </w:pP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Vázquez, C. (2003). Teorias criminologicas sobre delincuencia juvenil. </w:t>
      </w:r>
      <w:r w:rsidRPr="00000000" w:rsidDel="00000000" w:rsidR="00000000">
        <w:rPr>
          <w:rFonts w:ascii="Arial" w:hAnsi="Arial" w:eastAsia="Arial" w:cs="Arial"/>
          <w:b w:val="0"/>
          <w:i w:val="1"/>
          <w:smallCaps w:val="0"/>
          <w:strike w:val="0"/>
          <w:color w:val="0d0d0d"/>
          <w:sz w:val="24"/>
          <w:szCs w:val="24"/>
          <w:u w:val="none"/>
          <w:shd w:val="clear" w:fill="auto"/>
          <w:vertAlign w:val="baseline"/>
          <w:rtl w:val="0"/>
        </w:rPr>
        <w:t xml:space="preserve">UNED</w:t>
      </w:r>
      <w:r w:rsidRPr="00000000" w:rsidDel="00000000" w:rsidR="00000000">
        <w:rPr>
          <w:rFonts w:ascii="Arial" w:hAnsi="Arial" w:eastAsia="Arial" w:cs="Arial"/>
          <w:b w:val="0"/>
          <w:i w:val="0"/>
          <w:smallCaps w:val="0"/>
          <w:strike w:val="0"/>
          <w:color w:val="0d0d0d"/>
          <w:sz w:val="24"/>
          <w:szCs w:val="24"/>
          <w:u w:val="none"/>
          <w:shd w:val="clear" w:fill="auto"/>
          <w:vertAlign w:val="baseline"/>
          <w:rtl w:val="0"/>
        </w:rPr>
        <w:t xml:space="preserve">, 1-47. Obtenido de https://issuu.com/relasedor/docs/teorias-criminologicas </w:t>
      </w:r>
    </w:p>
    <w:p xmlns:wp14="http://schemas.microsoft.com/office/word/2010/wordml" w:rsidRPr="00000000" w:rsidR="00000000" w:rsidDel="00000000" w:rsidP="00000000" w:rsidRDefault="00000000" w14:paraId="00000041" wp14:textId="77777777">
      <w:pPr>
        <w:spacing w:line="360" w:lineRule="auto"/>
        <w:rPr>
          <w:rFonts w:ascii="Arial" w:hAnsi="Arial" w:eastAsia="Arial" w:cs="Arial"/>
          <w:color w:val="0d0d0d"/>
        </w:rPr>
      </w:pPr>
      <w:r w:rsidRPr="00000000" w:rsidDel="00000000" w:rsidR="00000000">
        <w:rPr>
          <w:rtl w:val="0"/>
        </w:rPr>
      </w:r>
    </w:p>
    <w:p xmlns:wp14="http://schemas.microsoft.com/office/word/2010/wordml" w:rsidRPr="00000000" w:rsidR="00000000" w:rsidDel="00000000" w:rsidP="00000000" w:rsidRDefault="00000000" w14:paraId="00000042" wp14:textId="77777777">
      <w:pPr>
        <w:spacing w:line="480" w:lineRule="auto"/>
        <w:jc w:val="both"/>
        <w:rPr>
          <w:rFonts w:ascii="Arial" w:hAnsi="Arial" w:eastAsia="Arial" w:cs="Arial"/>
          <w:color w:val="0d0d0d"/>
          <w:sz w:val="24"/>
          <w:szCs w:val="24"/>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footnote w:id="0">
    <w:p xmlns:wp14="http://schemas.microsoft.com/office/word/2010/wordml" w:rsidRPr="00000000" w:rsidR="00000000" w:rsidDel="00000000" w:rsidP="00000000" w:rsidRDefault="00000000" w14:paraId="00000043" wp14:textId="77777777">
      <w:pPr>
        <w:keepNext w:val="0"/>
        <w:keepLines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sidRPr="00000000" w:rsidDel="00000000" w:rsidR="00000000">
        <w:rPr>
          <w:rStyle w:val="FootnoteReference"/>
          <w:vertAlign w:val="superscript"/>
        </w:rPr>
        <w:footnoteRef/>
      </w:r>
      <w:r w:rsidRPr="00000000" w:rsidDel="00000000" w:rsidR="00000000">
        <w:rPr>
          <w:rFonts w:ascii="Calibri" w:hAnsi="Calibri" w:eastAsia="Calibri" w:cs="Calibri"/>
          <w:b w:val="0"/>
          <w:i w:val="0"/>
          <w:smallCaps w:val="0"/>
          <w:strike w:val="0"/>
          <w:color w:val="000000"/>
          <w:sz w:val="20"/>
          <w:szCs w:val="20"/>
          <w:u w:val="none"/>
          <w:shd w:val="clear" w:fill="auto"/>
          <w:vertAlign w:val="baseline"/>
          <w:rtl w:val="0"/>
        </w:rPr>
        <w:t xml:space="preserve"> Estudiante de pregrado, de la Facultad de Derecho, de la Universidad Santo Tomás.</w:t>
      </w:r>
    </w:p>
  </w:footnote>
  <w:footnote w:id="1">
    <w:p xmlns:wp14="http://schemas.microsoft.com/office/word/2010/wordml" w:rsidRPr="00000000" w:rsidR="00000000" w:rsidDel="00000000" w:rsidP="00000000" w:rsidRDefault="00000000" w14:paraId="00000044" wp14:textId="77777777">
      <w:pPr>
        <w:keepNext w:val="0"/>
        <w:keepLines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Calibri" w:hAnsi="Calibri" w:eastAsia="Calibri" w:cs="Calibri"/>
          <w:b w:val="0"/>
          <w:i w:val="0"/>
          <w:smallCaps w:val="0"/>
          <w:strike w:val="0"/>
          <w:color w:val="000000"/>
          <w:sz w:val="20"/>
          <w:szCs w:val="20"/>
          <w:u w:val="none"/>
          <w:shd w:val="clear" w:fill="auto"/>
          <w:vertAlign w:val="baseline"/>
        </w:rPr>
      </w:pPr>
      <w:r w:rsidRPr="00000000" w:rsidDel="00000000" w:rsidR="00000000">
        <w:rPr>
          <w:rStyle w:val="FootnoteReference"/>
          <w:vertAlign w:val="superscript"/>
        </w:rPr>
        <w:footnoteRef/>
      </w:r>
      <w:r w:rsidRPr="00000000" w:rsidDel="00000000" w:rsidR="00000000">
        <w:rPr>
          <w:rFonts w:ascii="Calibri" w:hAnsi="Calibri" w:eastAsia="Calibri" w:cs="Calibri"/>
          <w:b w:val="0"/>
          <w:i w:val="0"/>
          <w:smallCaps w:val="0"/>
          <w:strike w:val="0"/>
          <w:color w:val="000000"/>
          <w:sz w:val="20"/>
          <w:szCs w:val="20"/>
          <w:u w:val="none"/>
          <w:shd w:val="clear" w:fill="auto"/>
          <w:vertAlign w:val="baseline"/>
          <w:rtl w:val="0"/>
        </w:rPr>
        <w:t xml:space="preserve"> </w:t>
      </w:r>
      <w:hyperlink r:id="rId1">
        <w:r w:rsidRPr="00000000" w:rsidDel="00000000" w:rsidR="00000000">
          <w:rPr>
            <w:rFonts w:ascii="Calibri" w:hAnsi="Calibri" w:eastAsia="Calibri" w:cs="Calibri"/>
            <w:b w:val="0"/>
            <w:i w:val="0"/>
            <w:smallCaps w:val="0"/>
            <w:strike w:val="0"/>
            <w:color w:val="0000ff"/>
            <w:sz w:val="20"/>
            <w:szCs w:val="20"/>
            <w:u w:val="single"/>
            <w:shd w:val="clear" w:fill="auto"/>
            <w:vertAlign w:val="baseline"/>
            <w:rtl w:val="0"/>
          </w:rPr>
          <w:t xml:space="preserve">https://www.eltiempo.com/justicia/delitos/la-papa-caliente-del-crimen-con-rostro-de-nino-opinion-344110</w:t>
        </w:r>
      </w:hyperlink>
      <w:r w:rsidRPr="00000000" w:rsidDel="00000000" w:rsid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D9B1BEB"/>
  <w15:docId w15:val="{c2a947a5-a12e-476d-92c0-f330eed34425}"/>
  <w:rsids>
    <w:rsidRoot w:val="36BC6A4D"/>
    <w:rsid w:val="1F7231C4"/>
    <w:rsid w:val="36BC6A4D"/>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Calibri" w:hAnsi="Calibri" w:eastAsia="Calibri" w:cs="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240" w:after="0" w:lineRule="auto"/>
    </w:pPr>
    <w:rPr>
      <w:rFonts w:ascii="Calibri" w:hAnsi="Calibri" w:eastAsia="Calibri" w:cs="Calibri"/>
      <w:color w:val="2e75b5"/>
      <w:sz w:val="32"/>
      <w:szCs w:val="32"/>
    </w:rPr>
  </w:style>
  <w:style w:type="paragraph" w:styleId="Heading2">
    <w:name w:val="heading 2"/>
    <w:basedOn w:val="Normal"/>
    <w:next w:val="Normal"/>
    <w:pPr>
      <w:keepNext w:val="1"/>
      <w:keepLines w:val="1"/>
      <w:spacing w:before="40" w:after="0" w:lineRule="auto"/>
    </w:pPr>
    <w:rPr>
      <w:rFonts w:ascii="Calibri" w:hAnsi="Calibri" w:eastAsia="Calibri" w:cs="Calibri"/>
      <w:color w:val="2e75b5"/>
      <w:sz w:val="26"/>
      <w:szCs w:val="26"/>
    </w:rPr>
  </w:style>
  <w:style w:type="paragraph" w:styleId="Heading3">
    <w:name w:val="heading 3"/>
    <w:basedOn w:val="Normal"/>
    <w:next w:val="Normal"/>
    <w:pPr>
      <w:spacing w:line="240" w:lineRule="auto"/>
    </w:pPr>
    <w:rPr>
      <w:rFonts w:ascii="Times New Roman" w:hAnsi="Times New Roman" w:eastAsia="Times New Roman" w:cs="Times New Roman"/>
      <w:b w:val="1"/>
      <w:sz w:val="27"/>
      <w:szCs w:val="27"/>
    </w:rPr>
  </w:style>
  <w:style w:type="paragraph" w:styleId="Heading4">
    <w:name w:val="heading 4"/>
    <w:basedOn w:val="Normal"/>
    <w:next w:val="Normal"/>
    <w:pPr>
      <w:keepNext w:val="1"/>
      <w:keepLines w:val="1"/>
      <w:spacing w:before="40" w:after="0" w:lineRule="auto"/>
    </w:pPr>
    <w:rPr>
      <w:rFonts w:ascii="Calibri" w:hAnsi="Calibri" w:eastAsia="Calibri" w:cs="Calibri"/>
      <w:i w:val="1"/>
      <w:color w:val="2e75b5"/>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image" Target="media/image7.png" Id="rId11" /><Relationship Type="http://schemas.openxmlformats.org/officeDocument/2006/relationships/image" Target="media/image10.png" Id="rId10" /><Relationship Type="http://schemas.openxmlformats.org/officeDocument/2006/relationships/image" Target="media/image9.png" Id="rId13" /><Relationship Type="http://schemas.openxmlformats.org/officeDocument/2006/relationships/image" Target="media/image5.png" Id="rId12"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footnotes" Target="footnotes.xml" Id="rId4" /><Relationship Type="http://schemas.openxmlformats.org/officeDocument/2006/relationships/image" Target="media/image6.png" Id="rId9" /><Relationship Type="http://schemas.openxmlformats.org/officeDocument/2006/relationships/image" Target="media/image3.png" Id="rId15" /><Relationship Type="http://schemas.openxmlformats.org/officeDocument/2006/relationships/image" Target="media/image8.png" Id="rId14" /><Relationship Type="http://schemas.openxmlformats.org/officeDocument/2006/relationships/image" Target="media/image4.png" Id="rId17" /><Relationship Type="http://schemas.openxmlformats.org/officeDocument/2006/relationships/image" Target="media/image2.png" Id="rId16"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image" Target="media/image1.png" Id="rId7" /></Relationships>
</file>

<file path=word/_rels/footnotes.xml.rels><?xml version="1.0" encoding="UTF-8" standalone="yes"?><Relationships xmlns="http://schemas.openxmlformats.org/package/2006/relationships"><Relationship Id="rId1" Type="http://schemas.openxmlformats.org/officeDocument/2006/relationships/hyperlink" Target="https://www.eltiempo.com/justicia/delitos/la-papa-caliente-del-crimen-con-rostro-de-nino-opinion-344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00.0001</ap:AppVersion>
  <ap:Application>Microsoft Office Word</ap:Application>
  <ap:LinksUpToDate>false</ap:LinksUpToDate>
</ap:Properties>
</file>