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F8A" w:rsidRPr="008F0439" w:rsidRDefault="00933F8A" w:rsidP="00AE6D34">
      <w:pPr>
        <w:spacing w:after="0" w:line="360" w:lineRule="auto"/>
        <w:rPr>
          <w:rFonts w:ascii="Times" w:hAnsi="Times" w:cs="Arial"/>
          <w:b/>
          <w:sz w:val="24"/>
          <w:szCs w:val="24"/>
        </w:rPr>
      </w:pPr>
    </w:p>
    <w:p w:rsidR="00F91D37" w:rsidRPr="00AE6D34" w:rsidRDefault="00607F03" w:rsidP="00AE6D34">
      <w:pPr>
        <w:spacing w:after="0" w:line="360" w:lineRule="auto"/>
        <w:jc w:val="center"/>
        <w:rPr>
          <w:rFonts w:ascii="Times" w:hAnsi="Times" w:cs="Arial"/>
          <w:b/>
          <w:sz w:val="28"/>
          <w:szCs w:val="24"/>
        </w:rPr>
      </w:pPr>
      <w:r w:rsidRPr="008F0439">
        <w:rPr>
          <w:rFonts w:ascii="Times" w:hAnsi="Times" w:cs="Arial"/>
          <w:b/>
          <w:sz w:val="28"/>
          <w:szCs w:val="24"/>
        </w:rPr>
        <w:t>Estudio sobre el riesgo cardiova</w:t>
      </w:r>
      <w:r w:rsidR="00263343">
        <w:rPr>
          <w:rFonts w:ascii="Times" w:hAnsi="Times" w:cs="Arial"/>
          <w:b/>
          <w:sz w:val="28"/>
          <w:szCs w:val="24"/>
        </w:rPr>
        <w:t>s</w:t>
      </w:r>
      <w:r w:rsidR="0035758B">
        <w:rPr>
          <w:rFonts w:ascii="Times" w:hAnsi="Times" w:cs="Arial"/>
          <w:b/>
          <w:sz w:val="28"/>
          <w:szCs w:val="24"/>
        </w:rPr>
        <w:t>cular de mayores entre 5</w:t>
      </w:r>
      <w:r w:rsidRPr="008F0439">
        <w:rPr>
          <w:rFonts w:ascii="Times" w:hAnsi="Times" w:cs="Arial"/>
          <w:b/>
          <w:sz w:val="28"/>
          <w:szCs w:val="24"/>
        </w:rPr>
        <w:t>0 y 80 años físicamente activos de la ciudad de Bogotá</w:t>
      </w:r>
    </w:p>
    <w:p w:rsidR="00255ECF" w:rsidRPr="00F91D37" w:rsidRDefault="00F91D37" w:rsidP="00255ECF">
      <w:pPr>
        <w:spacing w:after="0" w:line="360" w:lineRule="auto"/>
        <w:jc w:val="both"/>
        <w:rPr>
          <w:rFonts w:ascii="Times" w:hAnsi="Times" w:cs="Arial"/>
          <w:sz w:val="24"/>
          <w:szCs w:val="24"/>
        </w:rPr>
      </w:pPr>
      <w:r w:rsidRPr="00F91D37">
        <w:rPr>
          <w:rFonts w:ascii="Times" w:hAnsi="Times" w:cs="Arial"/>
          <w:sz w:val="24"/>
          <w:szCs w:val="24"/>
        </w:rPr>
        <w:t>Proponentes:</w:t>
      </w:r>
    </w:p>
    <w:p w:rsidR="00F91D37" w:rsidRPr="00F91D37" w:rsidRDefault="00F91D37" w:rsidP="00255ECF">
      <w:pPr>
        <w:spacing w:after="0" w:line="360" w:lineRule="auto"/>
        <w:jc w:val="both"/>
        <w:rPr>
          <w:rFonts w:ascii="Times" w:hAnsi="Times" w:cs="Arial"/>
          <w:b/>
          <w:sz w:val="24"/>
          <w:szCs w:val="24"/>
        </w:rPr>
      </w:pPr>
      <w:r w:rsidRPr="00F91D37">
        <w:rPr>
          <w:rFonts w:ascii="Times" w:hAnsi="Times" w:cs="Arial"/>
          <w:b/>
          <w:sz w:val="24"/>
          <w:szCs w:val="24"/>
        </w:rPr>
        <w:t>Jhon F. Ramírez Villada, Pos-Doc, Ph.D.</w:t>
      </w:r>
    </w:p>
    <w:p w:rsidR="00F91D37" w:rsidRPr="00F91D37" w:rsidRDefault="00F91D37" w:rsidP="00255ECF">
      <w:pPr>
        <w:spacing w:after="0" w:line="360" w:lineRule="auto"/>
        <w:jc w:val="both"/>
        <w:rPr>
          <w:rFonts w:ascii="Times" w:hAnsi="Times" w:cs="Arial"/>
          <w:b/>
          <w:sz w:val="24"/>
          <w:szCs w:val="24"/>
        </w:rPr>
      </w:pPr>
      <w:r w:rsidRPr="00F91D37">
        <w:rPr>
          <w:rFonts w:ascii="Times" w:hAnsi="Times" w:cs="Arial"/>
          <w:b/>
          <w:sz w:val="24"/>
          <w:szCs w:val="24"/>
        </w:rPr>
        <w:t>Enrique Jiménez, Mg.</w:t>
      </w:r>
    </w:p>
    <w:p w:rsidR="00F91D37" w:rsidRPr="008F0439" w:rsidRDefault="00F91D37" w:rsidP="00255ECF">
      <w:pPr>
        <w:spacing w:after="0" w:line="360" w:lineRule="auto"/>
        <w:jc w:val="both"/>
        <w:rPr>
          <w:rFonts w:ascii="Times" w:hAnsi="Times" w:cs="Arial"/>
          <w:sz w:val="28"/>
          <w:szCs w:val="24"/>
        </w:rPr>
      </w:pPr>
    </w:p>
    <w:p w:rsidR="008F0439" w:rsidRDefault="00933F8A" w:rsidP="00AE6D34">
      <w:pPr>
        <w:spacing w:after="0" w:line="360" w:lineRule="auto"/>
        <w:jc w:val="both"/>
        <w:rPr>
          <w:rFonts w:ascii="Times" w:hAnsi="Times" w:cs="Arial"/>
          <w:b/>
          <w:sz w:val="24"/>
          <w:szCs w:val="24"/>
        </w:rPr>
      </w:pPr>
      <w:r w:rsidRPr="008F0439">
        <w:rPr>
          <w:rFonts w:ascii="Times" w:hAnsi="Times" w:cs="Arial"/>
          <w:b/>
          <w:sz w:val="24"/>
          <w:szCs w:val="24"/>
        </w:rPr>
        <w:t xml:space="preserve">Resumen: </w:t>
      </w:r>
    </w:p>
    <w:p w:rsidR="00933F8A" w:rsidRPr="008F0439" w:rsidRDefault="00933F8A" w:rsidP="00933F8A">
      <w:pPr>
        <w:autoSpaceDE w:val="0"/>
        <w:autoSpaceDN w:val="0"/>
        <w:adjustRightInd w:val="0"/>
        <w:spacing w:after="0" w:line="360" w:lineRule="auto"/>
        <w:jc w:val="both"/>
        <w:rPr>
          <w:rFonts w:ascii="Times" w:hAnsi="Times" w:cs="Arial"/>
          <w:sz w:val="24"/>
          <w:szCs w:val="24"/>
        </w:rPr>
      </w:pPr>
      <w:r w:rsidRPr="008F0439">
        <w:rPr>
          <w:rFonts w:ascii="Times" w:hAnsi="Times" w:cs="Arial"/>
          <w:b/>
          <w:sz w:val="24"/>
          <w:szCs w:val="24"/>
        </w:rPr>
        <w:t>Objetivo:</w:t>
      </w:r>
      <w:r w:rsidRPr="008F0439">
        <w:rPr>
          <w:rFonts w:ascii="Times" w:hAnsi="Times" w:cs="Arial"/>
          <w:sz w:val="24"/>
          <w:szCs w:val="24"/>
        </w:rPr>
        <w:t xml:space="preserve"> Analizar y clasificar el nivel de riesgo cardiovascular de los mayores entre 50 y 80 años de la ciudad de Bogotá que participan de los programas recreodeportivos del Intituto Distrital de Recreacíon y Deporte. Los instrumentos sugeridos abarcan los componentes morfológicos (composición corporal), de fuerza (máxima y explosiva), de capacidad funcional (velocidad, velocidad agilidad, marcha) y de composición sanguínea (trigliceridos, colesterol). </w:t>
      </w:r>
      <w:r w:rsidRPr="008F0439">
        <w:rPr>
          <w:rFonts w:ascii="Times" w:hAnsi="Times" w:cs="Arial"/>
          <w:b/>
          <w:sz w:val="24"/>
          <w:szCs w:val="24"/>
        </w:rPr>
        <w:t>Métodos:</w:t>
      </w:r>
      <w:r w:rsidRPr="008F0439">
        <w:rPr>
          <w:rFonts w:ascii="Times" w:hAnsi="Times" w:cs="Arial"/>
          <w:sz w:val="24"/>
          <w:szCs w:val="24"/>
        </w:rPr>
        <w:t xml:space="preserve"> 339 adultos mayores entre 50-80 años de edad, serán seleccionados del universo (N) de adultos físicamente activos que asisten a los programas recreodeportivos del Insituto Distrital de Recreación y Deporte (IDRD). </w:t>
      </w:r>
      <w:r w:rsidR="00AC46D4" w:rsidRPr="008F0439">
        <w:rPr>
          <w:rFonts w:ascii="Times" w:hAnsi="Times" w:cs="Arial"/>
          <w:sz w:val="24"/>
          <w:szCs w:val="24"/>
        </w:rPr>
        <w:t xml:space="preserve">En todos los intrumentos se aplicará un modelo (pre-test/re-test) para verificación de la confiabilidad de los datos distribuidos a lo largo de seis semanas por cada unidad de análisis. </w:t>
      </w:r>
      <w:r w:rsidR="00AC46D4" w:rsidRPr="008F0439">
        <w:rPr>
          <w:rFonts w:ascii="Times" w:hAnsi="Times" w:cs="Arial"/>
          <w:b/>
          <w:sz w:val="24"/>
          <w:szCs w:val="24"/>
        </w:rPr>
        <w:t>Resultados esperados:</w:t>
      </w:r>
      <w:r w:rsidR="00AC46D4" w:rsidRPr="008F0439">
        <w:rPr>
          <w:rFonts w:ascii="Times" w:hAnsi="Times" w:cs="Arial"/>
          <w:sz w:val="24"/>
          <w:szCs w:val="24"/>
        </w:rPr>
        <w:t xml:space="preserve"> un análisis descriptivo completo con estimación de descriptivos, tablas de percentiles, ínidices ponderales, relaciones mulitvariadas y regresiones estadísiticas que sirvan como diagnóstico control de los procesos y del estado individual de los grupos. </w:t>
      </w:r>
      <w:r w:rsidR="00AC46D4" w:rsidRPr="008F0439">
        <w:rPr>
          <w:rFonts w:ascii="Times" w:hAnsi="Times" w:cs="Arial"/>
          <w:b/>
          <w:sz w:val="24"/>
          <w:szCs w:val="24"/>
        </w:rPr>
        <w:t xml:space="preserve">Conclusión esperada: </w:t>
      </w:r>
      <w:r w:rsidR="00AC46D4" w:rsidRPr="008F0439">
        <w:rPr>
          <w:rFonts w:ascii="Times" w:hAnsi="Times" w:cs="Arial"/>
          <w:sz w:val="24"/>
          <w:szCs w:val="24"/>
        </w:rPr>
        <w:t xml:space="preserve">el riesgo cardiovascular de los adultos mayores participantes de los programas recreodeportivos del IDRD sea menor al 30%.  </w:t>
      </w:r>
    </w:p>
    <w:p w:rsidR="00607F03" w:rsidRPr="008F0439" w:rsidRDefault="00607F03" w:rsidP="00607F03">
      <w:pPr>
        <w:spacing w:line="360" w:lineRule="auto"/>
        <w:jc w:val="both"/>
        <w:rPr>
          <w:rFonts w:ascii="Times" w:hAnsi="Times" w:cs="Arial"/>
          <w:sz w:val="24"/>
          <w:szCs w:val="24"/>
        </w:rPr>
      </w:pPr>
      <w:r w:rsidRPr="009A5EF9">
        <w:rPr>
          <w:rFonts w:ascii="Times" w:hAnsi="Times" w:cs="Arial"/>
          <w:b/>
          <w:sz w:val="24"/>
          <w:szCs w:val="24"/>
        </w:rPr>
        <w:t>Palabras clave:</w:t>
      </w:r>
      <w:r w:rsidRPr="008F0439">
        <w:rPr>
          <w:rFonts w:ascii="Times" w:hAnsi="Times" w:cs="Arial"/>
          <w:sz w:val="24"/>
          <w:szCs w:val="24"/>
        </w:rPr>
        <w:t xml:space="preserve"> riesgo c</w:t>
      </w:r>
      <w:r w:rsidR="007F02F9">
        <w:rPr>
          <w:rFonts w:ascii="Times" w:hAnsi="Times" w:cs="Arial"/>
          <w:sz w:val="24"/>
          <w:szCs w:val="24"/>
        </w:rPr>
        <w:t>ardiovascular, capacidad funcio</w:t>
      </w:r>
      <w:r w:rsidRPr="008F0439">
        <w:rPr>
          <w:rFonts w:ascii="Times" w:hAnsi="Times" w:cs="Arial"/>
          <w:sz w:val="24"/>
          <w:szCs w:val="24"/>
        </w:rPr>
        <w:t>nal, composición corporal, adulto mayor.</w:t>
      </w:r>
    </w:p>
    <w:p w:rsidR="00255ECF" w:rsidRPr="009A5EF9" w:rsidRDefault="009A5EF9" w:rsidP="00255ECF">
      <w:pPr>
        <w:spacing w:after="0" w:line="360" w:lineRule="auto"/>
        <w:jc w:val="both"/>
        <w:rPr>
          <w:rFonts w:ascii="Times" w:hAnsi="Times" w:cs="Arial"/>
          <w:b/>
          <w:sz w:val="28"/>
          <w:szCs w:val="24"/>
          <w:u w:val="single"/>
        </w:rPr>
      </w:pPr>
      <w:r w:rsidRPr="009A5EF9">
        <w:rPr>
          <w:rFonts w:ascii="Times" w:hAnsi="Times" w:cs="Arial"/>
          <w:b/>
          <w:sz w:val="28"/>
          <w:szCs w:val="24"/>
        </w:rPr>
        <w:t xml:space="preserve">1. </w:t>
      </w:r>
      <w:r w:rsidRPr="009A5EF9">
        <w:rPr>
          <w:rFonts w:ascii="Times" w:hAnsi="Times" w:cs="Arial"/>
          <w:b/>
          <w:sz w:val="28"/>
          <w:szCs w:val="24"/>
          <w:u w:val="single"/>
        </w:rPr>
        <w:t>Planteamiento del problema</w:t>
      </w:r>
    </w:p>
    <w:p w:rsidR="00607F03" w:rsidRPr="008F0439" w:rsidRDefault="00607F03" w:rsidP="00255ECF">
      <w:pPr>
        <w:spacing w:after="0" w:line="360" w:lineRule="auto"/>
        <w:jc w:val="both"/>
        <w:rPr>
          <w:rFonts w:ascii="Times" w:hAnsi="Times" w:cs="Arial"/>
          <w:sz w:val="24"/>
          <w:szCs w:val="24"/>
        </w:rPr>
      </w:pPr>
      <w:bookmarkStart w:id="0" w:name="ANTE"/>
      <w:bookmarkEnd w:id="0"/>
      <w:r w:rsidRPr="008F0439">
        <w:rPr>
          <w:rFonts w:ascii="Times" w:hAnsi="Times" w:cs="Arial"/>
          <w:sz w:val="24"/>
          <w:szCs w:val="24"/>
        </w:rPr>
        <w:t>Como será desarrollado en los antecedentes teórico</w:t>
      </w:r>
      <w:r w:rsidR="00BA2B8E" w:rsidRPr="008F0439">
        <w:rPr>
          <w:rFonts w:ascii="Times" w:hAnsi="Times" w:cs="Arial"/>
          <w:sz w:val="24"/>
          <w:szCs w:val="24"/>
        </w:rPr>
        <w:t>s existe evidencia suficiente a nivel internacional, nacional y local que invita a replantear las políticas de atención sanitaria orientadas a mayores de 50 años. Las estadísticas estudiadas revelan unas tasas de proyección al 2025 y 2050 que amenazan el actual sistema sanitario, l</w:t>
      </w:r>
      <w:r w:rsidR="00C35F3C" w:rsidRPr="008F0439">
        <w:rPr>
          <w:rFonts w:ascii="Times" w:hAnsi="Times" w:cs="Arial"/>
          <w:sz w:val="24"/>
          <w:szCs w:val="24"/>
        </w:rPr>
        <w:t xml:space="preserve">o deja obsoleto e </w:t>
      </w:r>
      <w:r w:rsidR="00C35F3C" w:rsidRPr="008F0439">
        <w:rPr>
          <w:rFonts w:ascii="Times" w:hAnsi="Times" w:cs="Arial"/>
          <w:sz w:val="24"/>
          <w:szCs w:val="24"/>
        </w:rPr>
        <w:lastRenderedPageBreak/>
        <w:t xml:space="preserve">impotente dada la brecha abierta </w:t>
      </w:r>
      <w:r w:rsidR="00BA2B8E" w:rsidRPr="008F0439">
        <w:rPr>
          <w:rFonts w:ascii="Times" w:hAnsi="Times" w:cs="Arial"/>
          <w:sz w:val="24"/>
          <w:szCs w:val="24"/>
        </w:rPr>
        <w:t xml:space="preserve">entre  una oferta amblia (cobertura) y eficaz (calidad de atención) con respecto a la demanda. </w:t>
      </w:r>
    </w:p>
    <w:p w:rsidR="00607F03" w:rsidRPr="008F0439" w:rsidRDefault="00607F03" w:rsidP="00255ECF">
      <w:pPr>
        <w:spacing w:after="0" w:line="360" w:lineRule="auto"/>
        <w:jc w:val="both"/>
        <w:rPr>
          <w:rFonts w:ascii="Times" w:hAnsi="Times" w:cs="Arial"/>
          <w:sz w:val="24"/>
          <w:szCs w:val="24"/>
        </w:rPr>
      </w:pPr>
    </w:p>
    <w:p w:rsidR="00607F03" w:rsidRPr="008F0439" w:rsidRDefault="00C35F3C" w:rsidP="00255ECF">
      <w:pPr>
        <w:spacing w:after="0" w:line="360" w:lineRule="auto"/>
        <w:jc w:val="both"/>
        <w:rPr>
          <w:rFonts w:ascii="Times" w:hAnsi="Times" w:cs="Arial"/>
          <w:sz w:val="24"/>
          <w:szCs w:val="24"/>
        </w:rPr>
      </w:pPr>
      <w:r w:rsidRPr="008F0439">
        <w:rPr>
          <w:rFonts w:ascii="Times" w:hAnsi="Times" w:cs="Arial"/>
          <w:sz w:val="24"/>
          <w:szCs w:val="24"/>
        </w:rPr>
        <w:t>Es necesario aclarar</w:t>
      </w:r>
      <w:r w:rsidR="00BA2B8E" w:rsidRPr="008F0439">
        <w:rPr>
          <w:rFonts w:ascii="Times" w:hAnsi="Times" w:cs="Arial"/>
          <w:sz w:val="24"/>
          <w:szCs w:val="24"/>
        </w:rPr>
        <w:t xml:space="preserve"> que la atención sanitaria se divide en el nivel de promoción y prevención, rehabilitación y atención clínica hospitalaria, donde la caracterísitica que acompaña al modelo de salud Colombiano es una inversión en el trata</w:t>
      </w:r>
      <w:r w:rsidR="001A5677" w:rsidRPr="008F0439">
        <w:rPr>
          <w:rFonts w:ascii="Times" w:hAnsi="Times" w:cs="Arial"/>
          <w:sz w:val="24"/>
          <w:szCs w:val="24"/>
        </w:rPr>
        <w:t xml:space="preserve">miento </w:t>
      </w:r>
      <w:r w:rsidR="00BA2B8E" w:rsidRPr="008F0439">
        <w:rPr>
          <w:rFonts w:ascii="Times" w:hAnsi="Times" w:cs="Arial"/>
          <w:sz w:val="24"/>
          <w:szCs w:val="24"/>
        </w:rPr>
        <w:t xml:space="preserve">sintomatológico, es decir, cuando el paciente presenta un cuadro multivariado de sintomas que multiplican los costes </w:t>
      </w:r>
      <w:r w:rsidRPr="008F0439">
        <w:rPr>
          <w:rFonts w:ascii="Times" w:hAnsi="Times" w:cs="Arial"/>
          <w:sz w:val="24"/>
          <w:szCs w:val="24"/>
        </w:rPr>
        <w:t xml:space="preserve">de atención dado el estado avanzado de la enfermedad, que se suma a una </w:t>
      </w:r>
      <w:r w:rsidR="00BA2B8E" w:rsidRPr="008F0439">
        <w:rPr>
          <w:rFonts w:ascii="Times" w:hAnsi="Times" w:cs="Arial"/>
          <w:sz w:val="24"/>
          <w:szCs w:val="24"/>
        </w:rPr>
        <w:t xml:space="preserve">deficiente inversión en los niveles </w:t>
      </w:r>
      <w:r w:rsidRPr="008F0439">
        <w:rPr>
          <w:rFonts w:ascii="Times" w:hAnsi="Times" w:cs="Arial"/>
          <w:sz w:val="24"/>
          <w:szCs w:val="24"/>
        </w:rPr>
        <w:t xml:space="preserve">de promoción y prevención. </w:t>
      </w:r>
    </w:p>
    <w:p w:rsidR="00607F03" w:rsidRPr="008F0439" w:rsidRDefault="00607F03" w:rsidP="00255ECF">
      <w:pPr>
        <w:spacing w:after="0" w:line="360" w:lineRule="auto"/>
        <w:jc w:val="both"/>
        <w:rPr>
          <w:rFonts w:ascii="Times" w:hAnsi="Times" w:cs="Arial"/>
          <w:sz w:val="24"/>
          <w:szCs w:val="24"/>
        </w:rPr>
      </w:pPr>
    </w:p>
    <w:p w:rsidR="00C35F3C" w:rsidRPr="008F0439" w:rsidRDefault="00C35F3C" w:rsidP="00255ECF">
      <w:pPr>
        <w:spacing w:after="0" w:line="360" w:lineRule="auto"/>
        <w:jc w:val="both"/>
        <w:rPr>
          <w:rFonts w:ascii="Times" w:hAnsi="Times" w:cs="Arial"/>
          <w:sz w:val="24"/>
          <w:szCs w:val="24"/>
        </w:rPr>
      </w:pPr>
      <w:r w:rsidRPr="008F0439">
        <w:rPr>
          <w:rFonts w:ascii="Times" w:hAnsi="Times" w:cs="Arial"/>
          <w:sz w:val="24"/>
          <w:szCs w:val="24"/>
        </w:rPr>
        <w:t xml:space="preserve">Si bien existen programas de primer nivel </w:t>
      </w:r>
      <w:r w:rsidR="00733DAE" w:rsidRPr="008F0439">
        <w:rPr>
          <w:rFonts w:ascii="Times" w:hAnsi="Times" w:cs="Arial"/>
          <w:sz w:val="24"/>
          <w:szCs w:val="24"/>
        </w:rPr>
        <w:t>(promoción y prevención), no son abundantes los estudios que evalúan el impacto de los modelos sugeridos, menos aún del estado de entrada de los pacientes, aspecto que puede constatarse considerando que el mismo modelo se aplica con condiciones diagnósticas diferentes (diabetes, hipertensión, sobrepeso, obesidad, entre otros).</w:t>
      </w:r>
    </w:p>
    <w:p w:rsidR="00733DAE" w:rsidRPr="008F0439" w:rsidRDefault="00733DAE" w:rsidP="00255ECF">
      <w:pPr>
        <w:spacing w:after="0" w:line="360" w:lineRule="auto"/>
        <w:jc w:val="both"/>
        <w:rPr>
          <w:rFonts w:ascii="Times" w:hAnsi="Times" w:cs="Arial"/>
          <w:sz w:val="24"/>
          <w:szCs w:val="24"/>
        </w:rPr>
      </w:pPr>
    </w:p>
    <w:p w:rsidR="00733DAE" w:rsidRPr="008F0439" w:rsidRDefault="00733DAE" w:rsidP="009E3B03">
      <w:pPr>
        <w:spacing w:after="0" w:line="360" w:lineRule="auto"/>
        <w:jc w:val="both"/>
        <w:rPr>
          <w:rFonts w:ascii="Times" w:hAnsi="Times" w:cs="Arial"/>
          <w:sz w:val="24"/>
          <w:szCs w:val="24"/>
        </w:rPr>
      </w:pPr>
      <w:r w:rsidRPr="008F0439">
        <w:rPr>
          <w:rFonts w:ascii="Times" w:hAnsi="Times" w:cs="Arial"/>
          <w:sz w:val="24"/>
          <w:szCs w:val="24"/>
        </w:rPr>
        <w:t>Es importante a</w:t>
      </w:r>
      <w:r w:rsidR="00AE6D34">
        <w:rPr>
          <w:rFonts w:ascii="Times" w:hAnsi="Times" w:cs="Arial"/>
          <w:sz w:val="24"/>
          <w:szCs w:val="24"/>
        </w:rPr>
        <w:t>d</w:t>
      </w:r>
      <w:r w:rsidRPr="008F0439">
        <w:rPr>
          <w:rFonts w:ascii="Times" w:hAnsi="Times" w:cs="Arial"/>
          <w:sz w:val="24"/>
          <w:szCs w:val="24"/>
        </w:rPr>
        <w:t>vertir, que los estudios de perfil diagnóstico individualizan los modelos de antención sanitaria y se convierten en el primer paso en el diseño de una política de atención sanitaria integral, basada no sólo en el tratamiento de estados de enfermedad, también en aspectos de promoción- prevención que han demostrado ser fundamentales para hacer sostenible el modelo sanitario.Por todo lo expresado, la pregunta de investigación del proyecto es la siguiente:</w:t>
      </w:r>
    </w:p>
    <w:p w:rsidR="00733DAE" w:rsidRPr="009A5EF9" w:rsidRDefault="001F5CFA" w:rsidP="00733DAE">
      <w:pPr>
        <w:autoSpaceDE w:val="0"/>
        <w:autoSpaceDN w:val="0"/>
        <w:adjustRightInd w:val="0"/>
        <w:spacing w:after="0" w:line="360" w:lineRule="auto"/>
        <w:jc w:val="both"/>
        <w:rPr>
          <w:rFonts w:ascii="Times" w:hAnsi="Times" w:cs="Arial"/>
          <w:b/>
          <w:i/>
          <w:sz w:val="24"/>
          <w:szCs w:val="24"/>
        </w:rPr>
      </w:pPr>
      <w:r w:rsidRPr="009A5EF9">
        <w:rPr>
          <w:rFonts w:ascii="Times" w:hAnsi="Times" w:cs="Arial"/>
          <w:b/>
          <w:i/>
          <w:sz w:val="24"/>
          <w:szCs w:val="24"/>
        </w:rPr>
        <w:t>¿Cuál es el nivel</w:t>
      </w:r>
      <w:r w:rsidR="00733DAE" w:rsidRPr="009A5EF9">
        <w:rPr>
          <w:rFonts w:ascii="Times" w:hAnsi="Times" w:cs="Arial"/>
          <w:b/>
          <w:i/>
          <w:sz w:val="24"/>
          <w:szCs w:val="24"/>
        </w:rPr>
        <w:t xml:space="preserve"> de riesgo cardiovascular de los mayores entre 50-70 años de la ciudad de Bogotá que participan de los programas recreodeportivos del Instituto Distrital de Recreación y Deporte?</w:t>
      </w:r>
    </w:p>
    <w:p w:rsidR="001F5CFA" w:rsidRPr="008F0439" w:rsidRDefault="001F5CFA" w:rsidP="00733DAE">
      <w:pPr>
        <w:autoSpaceDE w:val="0"/>
        <w:autoSpaceDN w:val="0"/>
        <w:adjustRightInd w:val="0"/>
        <w:spacing w:after="0" w:line="360" w:lineRule="auto"/>
        <w:jc w:val="both"/>
        <w:rPr>
          <w:rFonts w:ascii="Times" w:hAnsi="Times" w:cs="Arial"/>
          <w:sz w:val="24"/>
          <w:szCs w:val="24"/>
        </w:rPr>
      </w:pPr>
    </w:p>
    <w:p w:rsidR="009A5EF9" w:rsidRPr="009A5EF9" w:rsidRDefault="009A5EF9" w:rsidP="00733DAE">
      <w:pPr>
        <w:autoSpaceDE w:val="0"/>
        <w:autoSpaceDN w:val="0"/>
        <w:adjustRightInd w:val="0"/>
        <w:spacing w:after="0" w:line="360" w:lineRule="auto"/>
        <w:jc w:val="both"/>
        <w:rPr>
          <w:rFonts w:ascii="Times" w:hAnsi="Times" w:cs="Arial"/>
          <w:b/>
          <w:sz w:val="28"/>
          <w:szCs w:val="24"/>
          <w:u w:val="single"/>
        </w:rPr>
      </w:pPr>
      <w:r w:rsidRPr="009A5EF9">
        <w:rPr>
          <w:rFonts w:ascii="Times" w:hAnsi="Times" w:cs="Arial"/>
          <w:b/>
          <w:sz w:val="28"/>
          <w:szCs w:val="24"/>
        </w:rPr>
        <w:t xml:space="preserve">2. </w:t>
      </w:r>
      <w:r w:rsidRPr="009A5EF9">
        <w:rPr>
          <w:rFonts w:ascii="Times" w:hAnsi="Times" w:cs="Arial"/>
          <w:b/>
          <w:sz w:val="28"/>
          <w:szCs w:val="24"/>
          <w:u w:val="single"/>
        </w:rPr>
        <w:t>Obejetivos</w:t>
      </w:r>
    </w:p>
    <w:p w:rsidR="001F5CFA" w:rsidRPr="009A5EF9" w:rsidRDefault="001F5CFA" w:rsidP="00733DAE">
      <w:pPr>
        <w:autoSpaceDE w:val="0"/>
        <w:autoSpaceDN w:val="0"/>
        <w:adjustRightInd w:val="0"/>
        <w:spacing w:after="0" w:line="360" w:lineRule="auto"/>
        <w:jc w:val="both"/>
        <w:rPr>
          <w:rFonts w:ascii="Times" w:hAnsi="Times" w:cs="Arial"/>
          <w:b/>
          <w:sz w:val="24"/>
          <w:szCs w:val="24"/>
        </w:rPr>
      </w:pPr>
      <w:r w:rsidRPr="009A5EF9">
        <w:rPr>
          <w:rFonts w:ascii="Times" w:hAnsi="Times" w:cs="Arial"/>
          <w:b/>
          <w:sz w:val="24"/>
          <w:szCs w:val="24"/>
        </w:rPr>
        <w:t>Objetivo General:</w:t>
      </w:r>
    </w:p>
    <w:p w:rsidR="001F5CFA" w:rsidRPr="008F0439" w:rsidRDefault="004E1206" w:rsidP="001F5CFA">
      <w:pPr>
        <w:pStyle w:val="Prrafodelista"/>
        <w:numPr>
          <w:ilvl w:val="0"/>
          <w:numId w:val="16"/>
        </w:num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Describir</w:t>
      </w:r>
      <w:r w:rsidR="001F5CFA" w:rsidRPr="008F0439">
        <w:rPr>
          <w:rFonts w:ascii="Times" w:hAnsi="Times" w:cs="Arial"/>
          <w:sz w:val="24"/>
          <w:szCs w:val="24"/>
        </w:rPr>
        <w:t xml:space="preserve"> el nivel de riesgo cardiovascular de los mayores entre 50-70 años de la ciudad de Bogotá que participan de los programas recreodeportivos del Instituto Distrital de Recreación y Deporte.</w:t>
      </w:r>
    </w:p>
    <w:p w:rsidR="001F5CFA" w:rsidRPr="008F0439" w:rsidRDefault="001F5CFA" w:rsidP="00733DAE">
      <w:pPr>
        <w:autoSpaceDE w:val="0"/>
        <w:autoSpaceDN w:val="0"/>
        <w:adjustRightInd w:val="0"/>
        <w:spacing w:after="0" w:line="360" w:lineRule="auto"/>
        <w:jc w:val="both"/>
        <w:rPr>
          <w:rFonts w:ascii="Times" w:hAnsi="Times" w:cs="Arial"/>
          <w:sz w:val="24"/>
          <w:szCs w:val="24"/>
        </w:rPr>
      </w:pPr>
    </w:p>
    <w:p w:rsidR="003D77B3" w:rsidRPr="009A5EF9" w:rsidRDefault="001F5CFA" w:rsidP="00E60CC4">
      <w:pPr>
        <w:autoSpaceDE w:val="0"/>
        <w:autoSpaceDN w:val="0"/>
        <w:adjustRightInd w:val="0"/>
        <w:spacing w:after="0" w:line="360" w:lineRule="auto"/>
        <w:jc w:val="both"/>
        <w:rPr>
          <w:rFonts w:ascii="Times" w:hAnsi="Times" w:cs="Arial"/>
          <w:b/>
          <w:sz w:val="24"/>
          <w:szCs w:val="24"/>
        </w:rPr>
      </w:pPr>
      <w:r w:rsidRPr="009A5EF9">
        <w:rPr>
          <w:rFonts w:ascii="Times" w:hAnsi="Times" w:cs="Arial"/>
          <w:b/>
          <w:sz w:val="24"/>
          <w:szCs w:val="24"/>
        </w:rPr>
        <w:t>Objetivo</w:t>
      </w:r>
      <w:r w:rsidR="00E60CC4" w:rsidRPr="009A5EF9">
        <w:rPr>
          <w:rFonts w:ascii="Times" w:hAnsi="Times" w:cs="Arial"/>
          <w:b/>
          <w:sz w:val="24"/>
          <w:szCs w:val="24"/>
        </w:rPr>
        <w:t>s</w:t>
      </w:r>
      <w:r w:rsidRPr="009A5EF9">
        <w:rPr>
          <w:rFonts w:ascii="Times" w:hAnsi="Times" w:cs="Arial"/>
          <w:b/>
          <w:sz w:val="24"/>
          <w:szCs w:val="24"/>
        </w:rPr>
        <w:t xml:space="preserve"> Específico</w:t>
      </w:r>
      <w:r w:rsidR="00E60CC4" w:rsidRPr="009A5EF9">
        <w:rPr>
          <w:rFonts w:ascii="Times" w:hAnsi="Times" w:cs="Arial"/>
          <w:b/>
          <w:sz w:val="24"/>
          <w:szCs w:val="24"/>
        </w:rPr>
        <w:t>s</w:t>
      </w:r>
      <w:r w:rsidRPr="009A5EF9">
        <w:rPr>
          <w:rFonts w:ascii="Times" w:hAnsi="Times" w:cs="Arial"/>
          <w:b/>
          <w:sz w:val="24"/>
          <w:szCs w:val="24"/>
        </w:rPr>
        <w:t>:</w:t>
      </w:r>
    </w:p>
    <w:p w:rsidR="003D77B3" w:rsidRPr="008F0439" w:rsidRDefault="003D77B3" w:rsidP="003D77B3">
      <w:pPr>
        <w:pStyle w:val="Prrafodelista"/>
        <w:numPr>
          <w:ilvl w:val="0"/>
          <w:numId w:val="16"/>
        </w:numPr>
        <w:spacing w:line="360" w:lineRule="auto"/>
        <w:jc w:val="both"/>
        <w:rPr>
          <w:rFonts w:ascii="Times" w:hAnsi="Times" w:cs="Arial"/>
          <w:i/>
          <w:sz w:val="24"/>
          <w:szCs w:val="24"/>
          <w:u w:val="single"/>
        </w:rPr>
      </w:pPr>
      <w:r w:rsidRPr="008F0439">
        <w:rPr>
          <w:rFonts w:ascii="Times" w:hAnsi="Times" w:cs="Arial"/>
          <w:sz w:val="24"/>
          <w:szCs w:val="24"/>
        </w:rPr>
        <w:t>Evaluar el estado general de salud y actividad física con el uso de los intrumentos Par-Q e IPAQ.</w:t>
      </w:r>
    </w:p>
    <w:p w:rsidR="001F5CFA" w:rsidRPr="008F0439" w:rsidRDefault="001F5CFA" w:rsidP="003D77B3">
      <w:pPr>
        <w:pStyle w:val="Prrafodelista"/>
        <w:numPr>
          <w:ilvl w:val="0"/>
          <w:numId w:val="16"/>
        </w:num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Estimar la composición corporal de la muestra acudiendo a dos procedimientos, el primero con el uso de un modelo tetracompartimental por Antropometría</w:t>
      </w:r>
      <w:r w:rsidR="003D77B3" w:rsidRPr="008F0439">
        <w:rPr>
          <w:rFonts w:ascii="Times" w:hAnsi="Times" w:cs="Arial"/>
          <w:sz w:val="24"/>
          <w:szCs w:val="24"/>
        </w:rPr>
        <w:t xml:space="preserve"> descritos por Grupo Español de Cineantropometría</w:t>
      </w:r>
      <w:r w:rsidRPr="008F0439">
        <w:rPr>
          <w:rFonts w:ascii="Times" w:hAnsi="Times" w:cs="Arial"/>
          <w:sz w:val="24"/>
          <w:szCs w:val="24"/>
        </w:rPr>
        <w:t>, el segundo, con el empleo de bio-impedancia.</w:t>
      </w:r>
    </w:p>
    <w:p w:rsidR="003D77B3" w:rsidRPr="008F0439" w:rsidRDefault="003D77B3" w:rsidP="003D77B3">
      <w:pPr>
        <w:pStyle w:val="Prrafodelista"/>
        <w:numPr>
          <w:ilvl w:val="0"/>
          <w:numId w:val="16"/>
        </w:num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Medir los niveles de fuerza</w:t>
      </w:r>
      <w:r w:rsidR="004E1206" w:rsidRPr="008F0439">
        <w:rPr>
          <w:rFonts w:ascii="Times" w:hAnsi="Times" w:cs="Arial"/>
          <w:sz w:val="24"/>
          <w:szCs w:val="24"/>
        </w:rPr>
        <w:t xml:space="preserve"> máxima prensil y de la fuerza explosiva </w:t>
      </w:r>
      <w:r w:rsidRPr="008F0439">
        <w:rPr>
          <w:rFonts w:ascii="Times" w:hAnsi="Times" w:cs="Arial"/>
          <w:sz w:val="24"/>
          <w:szCs w:val="24"/>
        </w:rPr>
        <w:t>a través de</w:t>
      </w:r>
      <w:r w:rsidR="004E1206" w:rsidRPr="008F0439">
        <w:rPr>
          <w:rFonts w:ascii="Times" w:hAnsi="Times" w:cs="Arial"/>
          <w:sz w:val="24"/>
          <w:szCs w:val="24"/>
        </w:rPr>
        <w:t xml:space="preserve"> la prueba hangrip y</w:t>
      </w:r>
      <w:r w:rsidRPr="008F0439">
        <w:rPr>
          <w:rFonts w:ascii="Times" w:hAnsi="Times" w:cs="Arial"/>
          <w:sz w:val="24"/>
          <w:szCs w:val="24"/>
        </w:rPr>
        <w:t xml:space="preserve"> un sistema de rayos infrarrojos Opto Gait ®.</w:t>
      </w:r>
    </w:p>
    <w:p w:rsidR="004E1206" w:rsidRPr="008F0439" w:rsidRDefault="004E1206" w:rsidP="003D77B3">
      <w:pPr>
        <w:pStyle w:val="Prrafodelista"/>
        <w:numPr>
          <w:ilvl w:val="0"/>
          <w:numId w:val="16"/>
        </w:num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Valorar la capacidad funcional de desplazamiento con pruebas de velocidad, velocidad agilidad y equilibrio dinámico (Ramírez y col 2006; Nelson y col 1994).</w:t>
      </w:r>
    </w:p>
    <w:p w:rsidR="004E1206" w:rsidRPr="008F0439" w:rsidRDefault="004E1206" w:rsidP="003D77B3">
      <w:pPr>
        <w:pStyle w:val="Prrafodelista"/>
        <w:numPr>
          <w:ilvl w:val="0"/>
          <w:numId w:val="16"/>
        </w:num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 xml:space="preserve">Estudiar el patrón de marcha con un sistema de obtención óptica de datos Optogait RX Microgate ®, el cual es un instrumento para la evaluación directa de la caminata </w:t>
      </w:r>
      <w:r w:rsidR="00F03D04" w:rsidRPr="008F0439">
        <w:rPr>
          <w:rFonts w:ascii="Times" w:hAnsi="Times" w:cs="Arial"/>
          <w:sz w:val="24"/>
          <w:szCs w:val="24"/>
        </w:rPr>
        <w:fldChar w:fldCharType="begin"/>
      </w:r>
      <w:r w:rsidRPr="008F0439">
        <w:rPr>
          <w:rFonts w:ascii="Times" w:hAnsi="Times" w:cs="Arial"/>
          <w:sz w:val="24"/>
          <w:szCs w:val="24"/>
        </w:rPr>
        <w:instrText xml:space="preserve"> ADDIN REFMGR.CITE &lt;Refman&gt;&lt;Cite&gt;&lt;Author&gt;Kressig&lt;/Author&gt;&lt;Year&gt;2006&lt;/Year&gt;&lt;RecNum&gt;16&lt;/RecNum&gt;&lt;IDText&gt;Guidelines for clinical applications of spatio-temporal gait analysis in older adults&lt;/IDText&gt;&lt;MDL Ref_Type="Journal"&gt;&lt;Ref_Type&gt;Journal&lt;/Ref_Type&gt;&lt;Ref_ID&gt;16&lt;/Ref_ID&gt;&lt;Title_Primary&gt;Guidelines for clinical applications of spatio-temporal gait analysis in older adults&lt;/Title_Primary&gt;&lt;Authors_Primary&gt;Kressig,R.W.&lt;/Authors_Primary&gt;&lt;Authors_Primary&gt;Beauchet,O.&lt;/Authors_Primary&gt;&lt;Date_Primary&gt;2006/4&lt;/Date_Primary&gt;&lt;Keywords&gt;Accidental Falls&lt;/Keywords&gt;&lt;Keywords&gt;Adult&lt;/Keywords&gt;&lt;Keywords&gt;Aged&lt;/Keywords&gt;&lt;Keywords&gt;Aged,80 and over&lt;/Keywords&gt;&lt;Keywords&gt;Aging&lt;/Keywords&gt;&lt;Keywords&gt;diagnosis&lt;/Keywords&gt;&lt;Keywords&gt;Environment Design&lt;/Keywords&gt;&lt;Keywords&gt;Europe&lt;/Keywords&gt;&lt;Keywords&gt;Frail Elderly&lt;/Keywords&gt;&lt;Keywords&gt;Gait&lt;/Keywords&gt;&lt;Keywords&gt;Gait Disorders,Neurologic&lt;/Keywords&gt;&lt;Keywords&gt;Geriatric Assessment&lt;/Keywords&gt;&lt;Keywords&gt;Humans&lt;/Keywords&gt;&lt;Keywords&gt;methods&lt;/Keywords&gt;&lt;Keywords&gt;physiology&lt;/Keywords&gt;&lt;Keywords&gt;physiopathology&lt;/Keywords&gt;&lt;Keywords&gt;prevention &amp;amp; control&lt;/Keywords&gt;&lt;Keywords&gt;Rehabilitation&lt;/Keywords&gt;&lt;Keywords&gt;Reproducibility of Results&lt;/Keywords&gt;&lt;Keywords&gt;Walking&lt;/Keywords&gt;&lt;Reprint&gt;Not in File&lt;/Reprint&gt;&lt;Start_Page&gt;174&lt;/Start_Page&gt;&lt;End_Page&gt;176&lt;/End_Page&gt;&lt;Periodical&gt;Aging Clin.Exp.Res.&lt;/Periodical&gt;&lt;Volume&gt;18&lt;/Volume&gt;&lt;Issue&gt;2&lt;/Issue&gt;&lt;Misc_3&gt;1816 [pii]&lt;/Misc_3&gt;&lt;Address&gt;Department of Rehabilitation and Geriatrics, Geneva University Hospitals, Thonex, Switzerland. reto.kressig@hcuge.ch&lt;/Address&gt;&lt;Web_URL&gt;PM:16702791&lt;/Web_URL&gt;&lt;ZZ_JournalFull&gt;&lt;f name="System"&gt;Aging Clin.Exp.Res.&lt;/f&gt;&lt;/ZZ_JournalFull&gt;&lt;ZZ_WorkformID&gt;1&lt;/ZZ_WorkformID&gt;&lt;/MDL&gt;&lt;/Cite&gt;&lt;/Refman&gt;</w:instrText>
      </w:r>
      <w:r w:rsidR="00F03D04" w:rsidRPr="008F0439">
        <w:rPr>
          <w:rFonts w:ascii="Times" w:hAnsi="Times" w:cs="Arial"/>
          <w:sz w:val="24"/>
          <w:szCs w:val="24"/>
        </w:rPr>
        <w:fldChar w:fldCharType="separate"/>
      </w:r>
      <w:r w:rsidRPr="008F0439">
        <w:rPr>
          <w:rFonts w:ascii="Times" w:hAnsi="Times" w:cs="Arial"/>
          <w:noProof/>
          <w:sz w:val="24"/>
          <w:szCs w:val="24"/>
        </w:rPr>
        <w:t>(Kressig &amp; Beauchet, 2006)</w:t>
      </w:r>
      <w:r w:rsidR="00F03D04" w:rsidRPr="008F0439">
        <w:rPr>
          <w:rFonts w:ascii="Times" w:hAnsi="Times" w:cs="Arial"/>
          <w:sz w:val="24"/>
          <w:szCs w:val="24"/>
        </w:rPr>
        <w:fldChar w:fldCharType="end"/>
      </w:r>
      <w:r w:rsidRPr="008F0439">
        <w:rPr>
          <w:rFonts w:ascii="Times" w:hAnsi="Times" w:cs="Arial"/>
          <w:sz w:val="24"/>
          <w:szCs w:val="24"/>
        </w:rPr>
        <w:t>.</w:t>
      </w:r>
    </w:p>
    <w:p w:rsidR="004E1206" w:rsidRPr="00972C1F" w:rsidRDefault="004E1206" w:rsidP="003D77B3">
      <w:pPr>
        <w:pStyle w:val="Prrafodelista"/>
        <w:numPr>
          <w:ilvl w:val="0"/>
          <w:numId w:val="16"/>
        </w:numPr>
        <w:autoSpaceDE w:val="0"/>
        <w:autoSpaceDN w:val="0"/>
        <w:adjustRightInd w:val="0"/>
        <w:spacing w:after="0" w:line="360" w:lineRule="auto"/>
        <w:jc w:val="both"/>
        <w:rPr>
          <w:rFonts w:ascii="Times" w:hAnsi="Times" w:cs="Arial"/>
          <w:sz w:val="24"/>
          <w:szCs w:val="24"/>
        </w:rPr>
      </w:pPr>
      <w:r w:rsidRPr="00972C1F">
        <w:rPr>
          <w:rFonts w:ascii="Times" w:hAnsi="Times" w:cs="Arial"/>
          <w:sz w:val="24"/>
          <w:szCs w:val="24"/>
        </w:rPr>
        <w:t xml:space="preserve">Estimar los valores de </w:t>
      </w:r>
      <w:r w:rsidRPr="00972C1F">
        <w:rPr>
          <w:rFonts w:ascii="Times" w:hAnsi="Times" w:cs="Arial"/>
          <w:sz w:val="24"/>
          <w:szCs w:val="24"/>
          <w:lang w:val="es-ES"/>
        </w:rPr>
        <w:t>colesterol total, HDL-c, LDL-c, triglicéridos, VLDL y lípidos totales en sangre por medio de un cuadro hemático de rutina.</w:t>
      </w:r>
    </w:p>
    <w:p w:rsidR="009E3B03" w:rsidRDefault="009E3B03" w:rsidP="00AE6D34">
      <w:pPr>
        <w:autoSpaceDE w:val="0"/>
        <w:autoSpaceDN w:val="0"/>
        <w:adjustRightInd w:val="0"/>
        <w:spacing w:after="0" w:line="360" w:lineRule="auto"/>
        <w:jc w:val="both"/>
        <w:rPr>
          <w:rFonts w:ascii="Times" w:hAnsi="Times" w:cs="Arial"/>
          <w:b/>
          <w:sz w:val="28"/>
          <w:szCs w:val="24"/>
        </w:rPr>
      </w:pPr>
    </w:p>
    <w:p w:rsidR="00AE6D34" w:rsidRPr="00A175A8" w:rsidRDefault="00AE6D34" w:rsidP="00AE6D34">
      <w:pPr>
        <w:autoSpaceDE w:val="0"/>
        <w:autoSpaceDN w:val="0"/>
        <w:adjustRightInd w:val="0"/>
        <w:spacing w:after="0" w:line="360" w:lineRule="auto"/>
        <w:jc w:val="both"/>
        <w:rPr>
          <w:rFonts w:ascii="Times" w:hAnsi="Times" w:cs="Arial"/>
          <w:b/>
          <w:sz w:val="28"/>
          <w:szCs w:val="24"/>
          <w:u w:val="single"/>
        </w:rPr>
      </w:pPr>
      <w:r w:rsidRPr="00AE6D34">
        <w:rPr>
          <w:rFonts w:ascii="Times" w:hAnsi="Times" w:cs="Arial"/>
          <w:b/>
          <w:sz w:val="28"/>
          <w:szCs w:val="24"/>
        </w:rPr>
        <w:t>3.</w:t>
      </w:r>
      <w:r w:rsidRPr="009A5EF9">
        <w:rPr>
          <w:rFonts w:ascii="Times" w:hAnsi="Times" w:cs="Arial"/>
          <w:b/>
          <w:sz w:val="28"/>
          <w:szCs w:val="24"/>
          <w:u w:val="single"/>
        </w:rPr>
        <w:t>Justificación.</w:t>
      </w:r>
    </w:p>
    <w:p w:rsidR="00AE6D34" w:rsidRPr="008F0439" w:rsidRDefault="00AE6D34" w:rsidP="00AE6D34">
      <w:p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La valoración diagnóstica en la población del adulto mayor tiene como propósito establecer un plan de prescripción, de tratamiento y de seguimiento de los distintos problemas que acogen a estas personas, con el propósito de reducir la morbilidad y la mortalidad y mejorar la calidad de vida. Tener una valoración diagnóstica en los ancianos también permite identificar las causas de los problemas de salud y orienta acciones en beneficio de esta población.</w:t>
      </w:r>
    </w:p>
    <w:p w:rsidR="00AE6D34" w:rsidRPr="008F0439" w:rsidRDefault="00AE6D34" w:rsidP="00AE6D34">
      <w:pPr>
        <w:autoSpaceDE w:val="0"/>
        <w:autoSpaceDN w:val="0"/>
        <w:adjustRightInd w:val="0"/>
        <w:spacing w:after="0" w:line="360" w:lineRule="auto"/>
        <w:jc w:val="both"/>
        <w:rPr>
          <w:rFonts w:ascii="Times" w:hAnsi="Times" w:cs="Arial"/>
          <w:sz w:val="24"/>
          <w:szCs w:val="24"/>
        </w:rPr>
      </w:pPr>
    </w:p>
    <w:p w:rsidR="00AE6D34" w:rsidRPr="008F0439" w:rsidRDefault="00AE6D34" w:rsidP="00AE6D34">
      <w:p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 xml:space="preserve">Desde el punto de vista de otros autores la valoración diagnóstica en adulto mayor tiene otras concepciones que apuntan a los mismos propósitos del presente estudio, Cortes, A. et al (2011, pp. 725) la refiere como Evaluación Geriátrica Integral (EGI) describiéndola como un </w:t>
      </w:r>
      <w:r w:rsidRPr="008F0439">
        <w:rPr>
          <w:rFonts w:ascii="Times" w:hAnsi="Times" w:cs="Arial"/>
          <w:i/>
          <w:sz w:val="24"/>
          <w:szCs w:val="24"/>
        </w:rPr>
        <w:t xml:space="preserve">“proceso diagnóstico multidimencional e interdisciplinario, diseñado para identificar y cuantificar los problemas físicos, funcionales, psíquicos y sociales que </w:t>
      </w:r>
      <w:r w:rsidRPr="008F0439">
        <w:rPr>
          <w:rFonts w:ascii="Times" w:hAnsi="Times" w:cs="Arial"/>
          <w:i/>
          <w:sz w:val="24"/>
          <w:szCs w:val="24"/>
        </w:rPr>
        <w:lastRenderedPageBreak/>
        <w:t>provocan alteraciones que con frecuencia llevan al adulto mayor a la incapacidad como deterioro cognitivo, demencia, trastornos de ánimo, depresión, etc.”</w:t>
      </w:r>
    </w:p>
    <w:p w:rsidR="00AE6D34" w:rsidRPr="008F0439" w:rsidRDefault="00AE6D34" w:rsidP="00AE6D34">
      <w:pPr>
        <w:autoSpaceDE w:val="0"/>
        <w:autoSpaceDN w:val="0"/>
        <w:adjustRightInd w:val="0"/>
        <w:spacing w:after="0" w:line="360" w:lineRule="auto"/>
        <w:jc w:val="both"/>
        <w:rPr>
          <w:rFonts w:ascii="Times" w:hAnsi="Times" w:cs="Arial"/>
          <w:sz w:val="24"/>
          <w:szCs w:val="24"/>
        </w:rPr>
      </w:pPr>
    </w:p>
    <w:p w:rsidR="00AE6D34" w:rsidRPr="008F0439" w:rsidRDefault="00AE6D34" w:rsidP="00AE6D34">
      <w:p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El requerimiento de baterías o técnicas de evaluación diagnóstico o funcional en la población del adulto mayor es una necesidad perentoria para los especialistas de la salud y los investigadores de la gerontología, donde los cambios a nivel físico y funcional a causa del envejecimiento y los problemas de salud de los adultos mayores, se manifiestan como declinaciones en sus hábitos de vida.</w:t>
      </w:r>
    </w:p>
    <w:p w:rsidR="00AE6D34" w:rsidRPr="008F0439" w:rsidRDefault="00AE6D34" w:rsidP="00AE6D34">
      <w:pPr>
        <w:autoSpaceDE w:val="0"/>
        <w:autoSpaceDN w:val="0"/>
        <w:adjustRightInd w:val="0"/>
        <w:spacing w:after="0" w:line="360" w:lineRule="auto"/>
        <w:jc w:val="both"/>
        <w:rPr>
          <w:rFonts w:ascii="Times" w:hAnsi="Times" w:cs="Arial"/>
          <w:sz w:val="24"/>
          <w:szCs w:val="24"/>
        </w:rPr>
      </w:pPr>
    </w:p>
    <w:p w:rsidR="00AE6D34" w:rsidRPr="008F0439" w:rsidRDefault="00AE6D34" w:rsidP="00AE6D34">
      <w:pPr>
        <w:autoSpaceDE w:val="0"/>
        <w:autoSpaceDN w:val="0"/>
        <w:adjustRightInd w:val="0"/>
        <w:spacing w:after="0" w:line="360" w:lineRule="auto"/>
        <w:jc w:val="both"/>
        <w:rPr>
          <w:rFonts w:ascii="Times" w:hAnsi="Times" w:cs="Arial"/>
          <w:i/>
          <w:sz w:val="24"/>
          <w:szCs w:val="24"/>
        </w:rPr>
      </w:pPr>
      <w:r w:rsidRPr="008F0439">
        <w:rPr>
          <w:rFonts w:ascii="Times" w:hAnsi="Times" w:cs="Arial"/>
          <w:sz w:val="24"/>
          <w:szCs w:val="24"/>
        </w:rPr>
        <w:t xml:space="preserve">Estas manifestaciones de deficiencia y deterioro en la salud son una alerta que debe ser tratada a tiempo ya que puede conducir a situaciones de incapacidad severa (inmovilidad, inestabilidad, deterioro intelectual). Así </w:t>
      </w:r>
      <w:r w:rsidRPr="008F0439">
        <w:rPr>
          <w:rFonts w:ascii="Times" w:hAnsi="Times" w:cs="Arial"/>
          <w:i/>
          <w:sz w:val="24"/>
          <w:szCs w:val="24"/>
        </w:rPr>
        <w:t xml:space="preserve">“una de las mejores maneras de evaluar el estado de salud de los adultos mayores es mediante la evaluación funcional, la cual provee los datos objetivos que pueden indicar la futura declinación o mejoría en el estado de salud” (Organización Panamericana de la Salud, pp. 35). </w:t>
      </w:r>
      <w:r w:rsidRPr="008F0439">
        <w:rPr>
          <w:rFonts w:ascii="Times" w:hAnsi="Times" w:cs="Arial"/>
          <w:sz w:val="24"/>
          <w:szCs w:val="24"/>
        </w:rPr>
        <w:t xml:space="preserve">Esto con el fin de que el equipo de especialistas de la salud pueda intervenir a tiempo impidiendo el deterior de la salud del adulto mayor. </w:t>
      </w:r>
    </w:p>
    <w:p w:rsidR="00373FDC" w:rsidRDefault="00373FDC" w:rsidP="00AE6D34">
      <w:pPr>
        <w:autoSpaceDE w:val="0"/>
        <w:autoSpaceDN w:val="0"/>
        <w:adjustRightInd w:val="0"/>
        <w:spacing w:after="0" w:line="360" w:lineRule="auto"/>
        <w:jc w:val="both"/>
        <w:rPr>
          <w:rFonts w:ascii="Times" w:hAnsi="Times" w:cs="Arial"/>
          <w:sz w:val="24"/>
          <w:szCs w:val="24"/>
        </w:rPr>
      </w:pPr>
    </w:p>
    <w:p w:rsidR="00AE6D34" w:rsidRPr="008F0439" w:rsidRDefault="00AE6D34" w:rsidP="00AE6D34">
      <w:p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 xml:space="preserve">En la actualidad el gobierno de Colombia presenta una orientación de recursos con el propósito de mejorar la calidad de vida del adulto mayor, estas políticas deben establecer un marco de referencia de carácter permanente que permitan acciones solidas a los distintos programas que se realicen a la población de ancianos. En esta perspectiva la legislación Colombiana asume las necesidades en la etapa de la vejes, pero debe tenerse en cuenta que los ancianos también son una responsabilidad de la sociedad, donde los entes públicos y privados tiene que orientar los recursos económicos adecuados con el fin de solventar las necesidades en la población de adultos mayores. </w:t>
      </w:r>
    </w:p>
    <w:p w:rsidR="00AE6D34" w:rsidRPr="008F0439" w:rsidRDefault="00AE6D34" w:rsidP="00AE6D34">
      <w:pPr>
        <w:autoSpaceDE w:val="0"/>
        <w:autoSpaceDN w:val="0"/>
        <w:adjustRightInd w:val="0"/>
        <w:spacing w:after="0" w:line="360" w:lineRule="auto"/>
        <w:jc w:val="both"/>
        <w:rPr>
          <w:rFonts w:ascii="Times" w:hAnsi="Times" w:cs="Arial"/>
          <w:sz w:val="24"/>
          <w:szCs w:val="24"/>
        </w:rPr>
      </w:pPr>
    </w:p>
    <w:p w:rsidR="00AE6D34" w:rsidRPr="008F0439" w:rsidRDefault="00AE6D34" w:rsidP="00AE6D34">
      <w:p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t>Por todas estas razones es evidente tomar acciones que beneficien a la población del adulto mayor, y dentro de estas acciones está enmarcado el presente estudio que abordará esta población desde los factores de riesgo cardiovascular en los grupos de ancianos de los parques distritales de la ciudad de Bogotá.</w:t>
      </w:r>
    </w:p>
    <w:p w:rsidR="006B7C51" w:rsidRDefault="006B7C51" w:rsidP="009A5EF9">
      <w:pPr>
        <w:spacing w:after="0" w:line="360" w:lineRule="auto"/>
        <w:jc w:val="both"/>
        <w:rPr>
          <w:rFonts w:ascii="Times" w:hAnsi="Times" w:cs="Arial"/>
          <w:b/>
          <w:sz w:val="28"/>
          <w:szCs w:val="24"/>
          <w:u w:val="single"/>
        </w:rPr>
      </w:pPr>
    </w:p>
    <w:p w:rsidR="00255ECF" w:rsidRDefault="00AE6D34" w:rsidP="009A5EF9">
      <w:pPr>
        <w:spacing w:after="0" w:line="360" w:lineRule="auto"/>
        <w:jc w:val="both"/>
        <w:rPr>
          <w:rFonts w:ascii="Times" w:hAnsi="Times" w:cs="Arial"/>
          <w:b/>
          <w:sz w:val="28"/>
          <w:szCs w:val="24"/>
          <w:u w:val="single"/>
        </w:rPr>
      </w:pPr>
      <w:r>
        <w:rPr>
          <w:rFonts w:ascii="Times" w:hAnsi="Times" w:cs="Arial"/>
          <w:b/>
          <w:sz w:val="28"/>
          <w:szCs w:val="24"/>
        </w:rPr>
        <w:t>4</w:t>
      </w:r>
      <w:r w:rsidR="009A5EF9" w:rsidRPr="009A5EF9">
        <w:rPr>
          <w:rFonts w:ascii="Times" w:hAnsi="Times" w:cs="Arial"/>
          <w:b/>
          <w:sz w:val="28"/>
          <w:szCs w:val="24"/>
        </w:rPr>
        <w:t xml:space="preserve">. </w:t>
      </w:r>
      <w:r w:rsidR="009A5EF9" w:rsidRPr="009A5EF9">
        <w:rPr>
          <w:rFonts w:ascii="Times" w:hAnsi="Times" w:cs="Arial"/>
          <w:b/>
          <w:sz w:val="28"/>
          <w:szCs w:val="24"/>
          <w:u w:val="single"/>
        </w:rPr>
        <w:t>Marco teórico</w:t>
      </w:r>
    </w:p>
    <w:p w:rsidR="00255ECF" w:rsidRPr="008F0439" w:rsidRDefault="00255ECF" w:rsidP="00255ECF">
      <w:pPr>
        <w:spacing w:after="0" w:line="360" w:lineRule="auto"/>
        <w:jc w:val="both"/>
        <w:rPr>
          <w:rFonts w:ascii="Times" w:hAnsi="Times" w:cs="Arial"/>
          <w:i/>
          <w:color w:val="000000"/>
          <w:sz w:val="24"/>
          <w:szCs w:val="24"/>
          <w:shd w:val="clear" w:color="auto" w:fill="FFFFFF"/>
        </w:rPr>
      </w:pPr>
      <w:r w:rsidRPr="008F0439">
        <w:rPr>
          <w:rFonts w:ascii="Times" w:hAnsi="Times" w:cs="Arial"/>
          <w:color w:val="000000"/>
          <w:sz w:val="24"/>
          <w:szCs w:val="24"/>
          <w:shd w:val="clear" w:color="auto" w:fill="FFFFFF"/>
        </w:rPr>
        <w:t>Existen diversos autores y teorías que explican las consecuencias o los mecanismos del envejecimiento,</w:t>
      </w:r>
      <w:r w:rsidRPr="008F0439">
        <w:rPr>
          <w:rFonts w:ascii="Times" w:hAnsi="Times" w:cs="Arial"/>
          <w:color w:val="000000"/>
          <w:sz w:val="24"/>
          <w:szCs w:val="24"/>
        </w:rPr>
        <w:t xml:space="preserve"> Romero A. (2008, pp. 289) explica "</w:t>
      </w:r>
      <w:r w:rsidRPr="008F0439">
        <w:rPr>
          <w:rFonts w:ascii="Times" w:hAnsi="Times" w:cs="Arial"/>
          <w:i/>
          <w:color w:val="000000"/>
          <w:sz w:val="24"/>
          <w:szCs w:val="24"/>
          <w:shd w:val="clear" w:color="auto" w:fill="FFFFFF"/>
        </w:rPr>
        <w:t>que se trata de un proceso irreversible e inevitable y que la extensión de la vida resulta de la interacción entre la dotación genética que se posee y el ambiente en que se vive”</w:t>
      </w:r>
    </w:p>
    <w:p w:rsidR="00255ECF" w:rsidRPr="008F0439" w:rsidRDefault="00255ECF" w:rsidP="00255ECF">
      <w:pPr>
        <w:spacing w:after="0" w:line="360" w:lineRule="auto"/>
        <w:jc w:val="both"/>
        <w:rPr>
          <w:rFonts w:ascii="Times" w:hAnsi="Times" w:cs="Arial"/>
          <w:color w:val="000000"/>
          <w:sz w:val="24"/>
          <w:szCs w:val="24"/>
          <w:shd w:val="clear" w:color="auto" w:fill="FFFFFF"/>
        </w:rPr>
      </w:pPr>
    </w:p>
    <w:p w:rsidR="00255ECF" w:rsidRPr="008F0439" w:rsidRDefault="00255ECF" w:rsidP="00255ECF">
      <w:pPr>
        <w:spacing w:after="0" w:line="360" w:lineRule="auto"/>
        <w:jc w:val="both"/>
        <w:rPr>
          <w:rFonts w:ascii="Times" w:hAnsi="Times" w:cs="Arial"/>
          <w:color w:val="000000"/>
          <w:sz w:val="24"/>
          <w:szCs w:val="24"/>
          <w:shd w:val="clear" w:color="auto" w:fill="FFFFFF"/>
        </w:rPr>
      </w:pPr>
      <w:r w:rsidRPr="008F0439">
        <w:rPr>
          <w:rFonts w:ascii="Times" w:hAnsi="Times" w:cs="Arial"/>
          <w:sz w:val="24"/>
          <w:szCs w:val="24"/>
        </w:rPr>
        <w:t xml:space="preserve">Con el propósito de entender lo que ocurre durante el envejecimiento </w:t>
      </w:r>
      <w:r w:rsidRPr="008F0439">
        <w:rPr>
          <w:rFonts w:ascii="Times" w:hAnsi="Times" w:cs="Arial"/>
          <w:i/>
          <w:sz w:val="24"/>
          <w:szCs w:val="24"/>
        </w:rPr>
        <w:t>“</w:t>
      </w:r>
      <w:r w:rsidRPr="008F0439">
        <w:rPr>
          <w:rFonts w:ascii="Times" w:hAnsi="Times" w:cs="Arial"/>
          <w:i/>
          <w:color w:val="000000"/>
          <w:sz w:val="24"/>
          <w:szCs w:val="24"/>
          <w:shd w:val="clear" w:color="auto" w:fill="FFFFFF"/>
        </w:rPr>
        <w:t>teóricos se han centrado en la actitud que las personas mayores poseen ante los cambios que ocurren en el mundo. Estas actitudes, positivas o negativas, a su vez son el reflejo de experiencias personales previa”</w:t>
      </w:r>
      <w:r w:rsidRPr="008F0439">
        <w:rPr>
          <w:rFonts w:ascii="Times" w:hAnsi="Times" w:cs="Arial"/>
          <w:color w:val="000000"/>
          <w:sz w:val="24"/>
          <w:szCs w:val="24"/>
          <w:shd w:val="clear" w:color="auto" w:fill="FFFFFF"/>
        </w:rPr>
        <w:t xml:space="preserve"> (</w:t>
      </w:r>
      <w:r w:rsidRPr="008F0439">
        <w:rPr>
          <w:rFonts w:ascii="Times" w:hAnsi="Times" w:cs="Arial"/>
          <w:sz w:val="24"/>
          <w:szCs w:val="24"/>
        </w:rPr>
        <w:t>Negredo, A. et al 2012, pp. 69). As</w:t>
      </w:r>
      <w:r w:rsidRPr="008F0439">
        <w:rPr>
          <w:rFonts w:ascii="Times" w:hAnsi="Times" w:cs="Arial"/>
          <w:color w:val="000000"/>
          <w:sz w:val="24"/>
          <w:szCs w:val="24"/>
          <w:shd w:val="clear" w:color="auto" w:fill="FFFFFF"/>
        </w:rPr>
        <w:t>í que todos los seres humanos envejecen de forma diferente, dependiendo de los hábitos que hayan llevado en el transcurso de la vida, los cuales son la causa de enfermedades que llevan a la muerte a la población del adulto mayor.</w:t>
      </w:r>
    </w:p>
    <w:p w:rsidR="00255ECF" w:rsidRPr="008F0439" w:rsidRDefault="00255ECF" w:rsidP="00255ECF">
      <w:pPr>
        <w:spacing w:after="0" w:line="360" w:lineRule="auto"/>
        <w:jc w:val="both"/>
        <w:rPr>
          <w:rFonts w:ascii="Times" w:hAnsi="Times" w:cs="Arial"/>
          <w:color w:val="000000"/>
          <w:sz w:val="24"/>
          <w:szCs w:val="24"/>
          <w:shd w:val="clear" w:color="auto" w:fill="FFFFFF"/>
        </w:rPr>
      </w:pPr>
    </w:p>
    <w:p w:rsidR="00255ECF" w:rsidRPr="008F0439" w:rsidRDefault="00255ECF" w:rsidP="00255ECF">
      <w:pPr>
        <w:spacing w:after="0" w:line="360" w:lineRule="auto"/>
        <w:jc w:val="both"/>
        <w:rPr>
          <w:rFonts w:ascii="Times" w:hAnsi="Times" w:cs="Arial"/>
          <w:i/>
          <w:color w:val="000000"/>
          <w:sz w:val="24"/>
          <w:szCs w:val="24"/>
          <w:shd w:val="clear" w:color="auto" w:fill="FFFFFF"/>
        </w:rPr>
      </w:pPr>
      <w:r w:rsidRPr="008F0439">
        <w:rPr>
          <w:rFonts w:ascii="Times" w:hAnsi="Times" w:cs="Arial"/>
          <w:color w:val="000000"/>
          <w:sz w:val="24"/>
          <w:szCs w:val="24"/>
          <w:shd w:val="clear" w:color="auto" w:fill="FFFFFF"/>
        </w:rPr>
        <w:t xml:space="preserve">El envejecimiento se relaciona con los términos </w:t>
      </w:r>
      <w:r w:rsidRPr="008F0439">
        <w:rPr>
          <w:rFonts w:ascii="Times" w:hAnsi="Times" w:cs="Arial"/>
          <w:i/>
          <w:color w:val="000000"/>
          <w:sz w:val="24"/>
          <w:szCs w:val="24"/>
          <w:shd w:val="clear" w:color="auto" w:fill="FFFFFF"/>
        </w:rPr>
        <w:t>Adulto Mayor</w:t>
      </w:r>
      <w:r w:rsidRPr="008F0439">
        <w:rPr>
          <w:rFonts w:ascii="Times" w:hAnsi="Times" w:cs="Arial"/>
          <w:color w:val="000000"/>
          <w:sz w:val="24"/>
          <w:szCs w:val="24"/>
          <w:shd w:val="clear" w:color="auto" w:fill="FFFFFF"/>
        </w:rPr>
        <w:t xml:space="preserve"> que son las personas con sesenta (60) años o más y según la ley 1276 de 2009 en su artículo 7mo </w:t>
      </w:r>
      <w:r w:rsidRPr="008F0439">
        <w:rPr>
          <w:rFonts w:ascii="Times" w:hAnsi="Times" w:cs="Arial"/>
          <w:i/>
          <w:color w:val="000000"/>
          <w:sz w:val="24"/>
          <w:szCs w:val="24"/>
          <w:shd w:val="clear" w:color="auto" w:fill="FFFFFF"/>
        </w:rPr>
        <w:t>"una persona podrá ser clasificada dentro de este rango, siendo menor de 60 años y mayor de 55, cuando sus condiciones de desgaste físico, vital y psicológico así lo determinen”.</w:t>
      </w:r>
    </w:p>
    <w:p w:rsidR="00255ECF" w:rsidRPr="008F0439" w:rsidRDefault="00255ECF" w:rsidP="00255ECF">
      <w:pPr>
        <w:spacing w:after="0" w:line="360" w:lineRule="auto"/>
        <w:jc w:val="both"/>
        <w:rPr>
          <w:rFonts w:ascii="Times" w:hAnsi="Times" w:cs="Arial"/>
          <w:color w:val="000000"/>
          <w:sz w:val="24"/>
          <w:szCs w:val="24"/>
          <w:shd w:val="clear" w:color="auto" w:fill="FFFFFF"/>
        </w:rPr>
      </w:pPr>
    </w:p>
    <w:p w:rsidR="00255ECF" w:rsidRPr="008F0439" w:rsidRDefault="00255ECF" w:rsidP="00255ECF">
      <w:pPr>
        <w:spacing w:after="0" w:line="360" w:lineRule="auto"/>
        <w:jc w:val="both"/>
        <w:rPr>
          <w:rFonts w:ascii="Times" w:hAnsi="Times" w:cs="Arial"/>
          <w:i/>
          <w:color w:val="000000"/>
          <w:sz w:val="24"/>
          <w:szCs w:val="24"/>
          <w:shd w:val="clear" w:color="auto" w:fill="FFFFFF"/>
        </w:rPr>
      </w:pPr>
      <w:r w:rsidRPr="008F0439">
        <w:rPr>
          <w:rFonts w:ascii="Times" w:hAnsi="Times" w:cs="Arial"/>
          <w:i/>
          <w:color w:val="000000"/>
          <w:sz w:val="24"/>
          <w:szCs w:val="24"/>
          <w:shd w:val="clear" w:color="auto" w:fill="FFFFFF"/>
        </w:rPr>
        <w:t>“En casi todos los países del mundo el grupo poblacional que más rápido crece es el de las personas de edad avanzada”</w:t>
      </w:r>
      <w:r w:rsidRPr="008F0439">
        <w:rPr>
          <w:rFonts w:ascii="Times" w:hAnsi="Times" w:cs="Arial"/>
          <w:color w:val="000000"/>
          <w:sz w:val="24"/>
          <w:szCs w:val="24"/>
          <w:shd w:val="clear" w:color="auto" w:fill="FFFFFF"/>
        </w:rPr>
        <w:t xml:space="preserve"> (Celestino, M. et al 2008, pp. 161). En Colombia la población ha ido en aumento en los últimos años y los adultos mayores representan un desafío para los entes gubernamentales, el DANE en el censo del 2005 precisa que </w:t>
      </w:r>
      <w:r w:rsidRPr="008F0439">
        <w:rPr>
          <w:rFonts w:ascii="Times" w:hAnsi="Times" w:cs="Arial"/>
          <w:i/>
          <w:color w:val="000000"/>
          <w:sz w:val="24"/>
          <w:szCs w:val="24"/>
          <w:shd w:val="clear" w:color="auto" w:fill="FFFFFF"/>
        </w:rPr>
        <w:t>“en un siglo el país pasó de 4´355.470 personas a un total de 41.468.384 habitantes, de los cuales el 6.3% (2´612.508), es mayor de 65 años; el 54.6% pertenece al sexo femenino y el 45.4% son hombres” (Ministerio de la Protección Social, 2007).</w:t>
      </w:r>
    </w:p>
    <w:p w:rsidR="00255ECF" w:rsidRPr="008F0439" w:rsidRDefault="00255ECF" w:rsidP="00255ECF">
      <w:pPr>
        <w:spacing w:after="0" w:line="360" w:lineRule="auto"/>
        <w:jc w:val="both"/>
        <w:rPr>
          <w:rFonts w:ascii="Times" w:hAnsi="Times" w:cs="Arial"/>
          <w:color w:val="000000"/>
          <w:sz w:val="24"/>
          <w:szCs w:val="24"/>
          <w:shd w:val="clear" w:color="auto" w:fill="FFFFFF"/>
        </w:rPr>
      </w:pPr>
    </w:p>
    <w:p w:rsidR="00255ECF" w:rsidRPr="008F0439" w:rsidRDefault="00255ECF" w:rsidP="00255ECF">
      <w:pPr>
        <w:spacing w:after="0" w:line="360" w:lineRule="auto"/>
        <w:jc w:val="both"/>
        <w:rPr>
          <w:rFonts w:ascii="Times" w:hAnsi="Times" w:cs="Arial"/>
          <w:color w:val="000000"/>
          <w:sz w:val="24"/>
          <w:szCs w:val="24"/>
          <w:shd w:val="clear" w:color="auto" w:fill="FFFFFF"/>
        </w:rPr>
      </w:pPr>
    </w:p>
    <w:p w:rsidR="00255ECF" w:rsidRPr="008F0439" w:rsidRDefault="00255ECF" w:rsidP="00255ECF">
      <w:pPr>
        <w:spacing w:after="0" w:line="360" w:lineRule="auto"/>
        <w:jc w:val="both"/>
        <w:rPr>
          <w:rFonts w:ascii="Times" w:hAnsi="Times" w:cs="Arial"/>
          <w:color w:val="000000"/>
          <w:sz w:val="24"/>
          <w:szCs w:val="24"/>
          <w:shd w:val="clear" w:color="auto" w:fill="FFFFFF"/>
        </w:rPr>
      </w:pPr>
      <w:r w:rsidRPr="008F0439">
        <w:rPr>
          <w:rFonts w:ascii="Times" w:hAnsi="Times" w:cs="Arial"/>
          <w:color w:val="000000"/>
          <w:sz w:val="24"/>
          <w:szCs w:val="24"/>
          <w:shd w:val="clear" w:color="auto" w:fill="FFFFFF"/>
        </w:rPr>
        <w:t xml:space="preserve">Desde los anteriores parámetros demográficos y de política pública del adulto mayor en el contexto actual, es importante complementar la información con aspectos más precisos, </w:t>
      </w:r>
      <w:r w:rsidRPr="008F0439">
        <w:rPr>
          <w:rFonts w:ascii="Times" w:hAnsi="Times" w:cs="Arial"/>
          <w:color w:val="000000"/>
          <w:sz w:val="24"/>
          <w:szCs w:val="24"/>
          <w:shd w:val="clear" w:color="auto" w:fill="FFFFFF"/>
        </w:rPr>
        <w:lastRenderedPageBreak/>
        <w:t xml:space="preserve">como son los distintos cambios a nivel orgánico de los sistemas funcionales que sufren los adultos mayores durante la vida, </w:t>
      </w:r>
      <w:r w:rsidRPr="008F0439">
        <w:rPr>
          <w:rFonts w:ascii="Times" w:hAnsi="Times" w:cs="Arial"/>
          <w:sz w:val="24"/>
          <w:szCs w:val="24"/>
          <w:lang w:val="es-CO"/>
        </w:rPr>
        <w:t>algunas alteraciones son las “</w:t>
      </w:r>
      <w:r w:rsidRPr="008F0439">
        <w:rPr>
          <w:rFonts w:ascii="Times" w:hAnsi="Times" w:cs="Arial"/>
          <w:i/>
          <w:sz w:val="24"/>
          <w:szCs w:val="24"/>
          <w:lang w:val="es-CO"/>
        </w:rPr>
        <w:t>deficiencias en las categorías de capacidad aeróbica por alteración en los sistemas cardiovascular y pulmonar, deficiencias en el desempeño muscular y rango de movimiento incluyendo longitud muscular dadas por alteración en el sistema osteomuscular y en la integridad sensorial…”</w:t>
      </w:r>
      <w:r w:rsidRPr="008F0439">
        <w:rPr>
          <w:rFonts w:ascii="Times" w:hAnsi="Times" w:cs="Arial"/>
          <w:iCs/>
          <w:sz w:val="24"/>
          <w:szCs w:val="24"/>
          <w:lang w:val="es-CO"/>
        </w:rPr>
        <w:t xml:space="preserve"> (Mora, G. </w:t>
      </w:r>
      <w:r w:rsidRPr="008F0439">
        <w:rPr>
          <w:rFonts w:ascii="Times" w:hAnsi="Times" w:cs="Arial"/>
          <w:sz w:val="24"/>
          <w:szCs w:val="24"/>
          <w:lang w:val="es-CO"/>
        </w:rPr>
        <w:t xml:space="preserve">2008, pp. 2)existen otras modificaciones a tener en cuenta </w:t>
      </w:r>
      <w:r w:rsidRPr="008F0439">
        <w:rPr>
          <w:rFonts w:ascii="Times" w:hAnsi="Times" w:cs="Arial"/>
          <w:i/>
          <w:sz w:val="24"/>
          <w:szCs w:val="24"/>
          <w:lang w:val="es-CO"/>
        </w:rPr>
        <w:t xml:space="preserve">“a nivel neuromuscular también se producen cambios que afectan la velocidad de reacción, la memoria, la capacidad de atención, aprendizaje y su capacidad intelectual; Además con la edad disminuyen las funciones gastrointestinales, inmunológicos, hormonales…” </w:t>
      </w:r>
      <w:r w:rsidRPr="008F0439">
        <w:rPr>
          <w:rFonts w:ascii="Times" w:hAnsi="Times" w:cs="Arial"/>
          <w:iCs/>
          <w:sz w:val="24"/>
          <w:szCs w:val="24"/>
          <w:lang w:val="es-CO"/>
        </w:rPr>
        <w:t xml:space="preserve">(Mora, G. </w:t>
      </w:r>
      <w:r w:rsidRPr="008F0439">
        <w:rPr>
          <w:rFonts w:ascii="Times" w:hAnsi="Times" w:cs="Arial"/>
          <w:sz w:val="24"/>
          <w:szCs w:val="24"/>
          <w:lang w:val="es-CO"/>
        </w:rPr>
        <w:t>2008, pp. 2) los anteriores cambios inciden en la capacidad para realizar actividades de la vida cotidiana del adulto mayor, limitando su nivel de autonomía.</w:t>
      </w:r>
    </w:p>
    <w:p w:rsidR="00255ECF" w:rsidRPr="008F0439" w:rsidRDefault="00255ECF" w:rsidP="00255ECF">
      <w:pPr>
        <w:spacing w:after="0" w:line="360" w:lineRule="auto"/>
        <w:jc w:val="both"/>
        <w:rPr>
          <w:rFonts w:ascii="Times" w:hAnsi="Times" w:cs="Arial"/>
          <w:sz w:val="24"/>
          <w:szCs w:val="24"/>
          <w:shd w:val="clear" w:color="auto" w:fill="FFFFFF"/>
        </w:rPr>
      </w:pPr>
    </w:p>
    <w:p w:rsidR="00255ECF" w:rsidRPr="008F0439" w:rsidRDefault="00255ECF" w:rsidP="00255ECF">
      <w:pPr>
        <w:spacing w:after="0" w:line="360" w:lineRule="auto"/>
        <w:jc w:val="both"/>
        <w:rPr>
          <w:rFonts w:ascii="Times" w:hAnsi="Times" w:cs="Arial"/>
          <w:sz w:val="24"/>
          <w:szCs w:val="24"/>
          <w:shd w:val="clear" w:color="auto" w:fill="FFFFFF"/>
        </w:rPr>
      </w:pPr>
      <w:r w:rsidRPr="008F0439">
        <w:rPr>
          <w:rFonts w:ascii="Times" w:hAnsi="Times" w:cs="Arial"/>
          <w:sz w:val="24"/>
          <w:szCs w:val="24"/>
          <w:shd w:val="clear" w:color="auto" w:fill="FFFFFF"/>
        </w:rPr>
        <w:t xml:space="preserve">Estos cambios en los sistemas funcionales del adulto mayor van acompañados de diversas enfermedades, entre ellas las relacionadas con el riesgo cardiovasculares, que afectan por igual a las mujeres y a los hombres, y se calcula que en el año 2015 morirán cerca de 20 millones de personas por cardiopatías y accidentes cerebrovasculares, así lo ratifican estudios de Rondanelli, R. et al (2012, pp. 724) afirmando que </w:t>
      </w:r>
      <w:r w:rsidRPr="008F0439">
        <w:rPr>
          <w:rFonts w:ascii="Times" w:hAnsi="Times" w:cs="Arial"/>
          <w:i/>
          <w:sz w:val="24"/>
          <w:szCs w:val="24"/>
          <w:shd w:val="clear" w:color="auto" w:fill="FFFFFF"/>
        </w:rPr>
        <w:t xml:space="preserve">“las Enfermedades Cardiovasculares (ECV) son la principal causa de muerte de los adultos mayores de 60 años a nivel mundial”. </w:t>
      </w:r>
    </w:p>
    <w:p w:rsidR="00255ECF" w:rsidRPr="008F0439" w:rsidRDefault="00255ECF" w:rsidP="00255ECF">
      <w:pPr>
        <w:spacing w:after="0" w:line="360" w:lineRule="auto"/>
        <w:jc w:val="both"/>
        <w:rPr>
          <w:rFonts w:ascii="Times" w:hAnsi="Times" w:cs="Arial"/>
          <w:sz w:val="24"/>
          <w:szCs w:val="24"/>
          <w:shd w:val="clear" w:color="auto" w:fill="FFFFFF"/>
        </w:rPr>
      </w:pPr>
    </w:p>
    <w:p w:rsidR="00255ECF" w:rsidRPr="008F0439" w:rsidRDefault="00255ECF" w:rsidP="00255ECF">
      <w:pPr>
        <w:spacing w:after="0" w:line="360" w:lineRule="auto"/>
        <w:jc w:val="both"/>
        <w:rPr>
          <w:rFonts w:ascii="Times" w:hAnsi="Times" w:cs="Arial"/>
          <w:color w:val="000000"/>
          <w:sz w:val="24"/>
          <w:szCs w:val="24"/>
          <w:shd w:val="clear" w:color="auto" w:fill="FFFFFF"/>
        </w:rPr>
      </w:pPr>
      <w:r w:rsidRPr="008F0439">
        <w:rPr>
          <w:rFonts w:ascii="Times" w:hAnsi="Times" w:cs="Arial"/>
          <w:color w:val="000000"/>
          <w:sz w:val="24"/>
          <w:szCs w:val="24"/>
          <w:shd w:val="clear" w:color="auto" w:fill="FFFFFF"/>
        </w:rPr>
        <w:t xml:space="preserve">Un estudio realizado por el CIFARC (Control integral de los factores de riesgo en pacientes de alto y muy alto riesgo cardiovascular en España), sobre el observación de factores de riesgo cardiovascular comprobó que </w:t>
      </w:r>
      <w:r w:rsidRPr="008F0439">
        <w:rPr>
          <w:rFonts w:ascii="Times" w:hAnsi="Times" w:cs="Arial"/>
          <w:i/>
          <w:color w:val="000000"/>
          <w:sz w:val="24"/>
          <w:szCs w:val="24"/>
          <w:shd w:val="clear" w:color="auto" w:fill="FFFFFF"/>
        </w:rPr>
        <w:t>“con una edad media de la población estudiada de 66,1 años, se evidencia que sólo el 6,9% de los pacientes con alto o muy alto riesgo cardiovascular tienen controlados los principales factores de riesgo”</w:t>
      </w:r>
      <w:r w:rsidRPr="008F0439">
        <w:rPr>
          <w:rFonts w:ascii="Times" w:hAnsi="Times" w:cs="Arial"/>
          <w:color w:val="000000"/>
          <w:sz w:val="24"/>
          <w:szCs w:val="24"/>
          <w:shd w:val="clear" w:color="auto" w:fill="FFFFFF"/>
        </w:rPr>
        <w:t xml:space="preserve"> (Ruiz, A. 2011, pp.3).</w:t>
      </w:r>
    </w:p>
    <w:p w:rsidR="00255ECF" w:rsidRPr="008F0439" w:rsidRDefault="00255ECF" w:rsidP="00255ECF">
      <w:pPr>
        <w:spacing w:after="0" w:line="360" w:lineRule="auto"/>
        <w:jc w:val="both"/>
        <w:rPr>
          <w:rFonts w:ascii="Times" w:hAnsi="Times" w:cs="Arial"/>
          <w:color w:val="000000"/>
          <w:sz w:val="24"/>
          <w:szCs w:val="24"/>
          <w:shd w:val="clear" w:color="auto" w:fill="FFFFFF"/>
        </w:rPr>
      </w:pPr>
    </w:p>
    <w:p w:rsidR="00255ECF" w:rsidRPr="008F0439" w:rsidRDefault="00255ECF" w:rsidP="00255ECF">
      <w:pPr>
        <w:spacing w:after="0" w:line="360" w:lineRule="auto"/>
        <w:jc w:val="both"/>
        <w:rPr>
          <w:rFonts w:ascii="Times" w:hAnsi="Times" w:cs="Arial"/>
          <w:color w:val="FF0000"/>
          <w:sz w:val="24"/>
          <w:szCs w:val="24"/>
          <w:shd w:val="clear" w:color="auto" w:fill="FFFFFF"/>
        </w:rPr>
      </w:pPr>
      <w:r w:rsidRPr="008F0439">
        <w:rPr>
          <w:rFonts w:ascii="Times" w:hAnsi="Times" w:cs="Arial"/>
          <w:color w:val="000000"/>
          <w:sz w:val="24"/>
          <w:szCs w:val="24"/>
          <w:shd w:val="clear" w:color="auto" w:fill="FFFFFF"/>
        </w:rPr>
        <w:t>Sin embargo, pese a los estudios con relación al beneficio del ejercicio físico en la población de adulto mayor los problemas de salud en estas personas son evidentes, justamente por los malos hábitos de vida saludable que en sus etapas anteriores no supieron o no pudieron modificar, documentos del M</w:t>
      </w:r>
      <w:r w:rsidRPr="008F0439">
        <w:rPr>
          <w:rFonts w:ascii="Times" w:hAnsi="Times" w:cs="Arial"/>
          <w:sz w:val="24"/>
          <w:szCs w:val="24"/>
          <w:shd w:val="clear" w:color="auto" w:fill="FFFFFF"/>
        </w:rPr>
        <w:t xml:space="preserve">inisterio de la Protección Social (2005), </w:t>
      </w:r>
      <w:r w:rsidRPr="008F0439">
        <w:rPr>
          <w:rFonts w:ascii="Times" w:hAnsi="Times" w:cs="Arial"/>
          <w:sz w:val="24"/>
          <w:szCs w:val="24"/>
          <w:shd w:val="clear" w:color="auto" w:fill="FFFFFF"/>
        </w:rPr>
        <w:lastRenderedPageBreak/>
        <w:t xml:space="preserve">descifran que en </w:t>
      </w:r>
      <w:r w:rsidRPr="008F0439">
        <w:rPr>
          <w:rFonts w:ascii="Times" w:hAnsi="Times" w:cs="Arial"/>
          <w:color w:val="000000"/>
          <w:sz w:val="24"/>
          <w:szCs w:val="24"/>
          <w:shd w:val="clear" w:color="auto" w:fill="FFFFFF"/>
        </w:rPr>
        <w:t>Colombia “</w:t>
      </w:r>
      <w:r w:rsidRPr="008F0439">
        <w:rPr>
          <w:rFonts w:ascii="Times" w:hAnsi="Times" w:cs="Arial"/>
          <w:i/>
          <w:color w:val="000000"/>
          <w:sz w:val="24"/>
          <w:szCs w:val="24"/>
          <w:shd w:val="clear" w:color="auto" w:fill="FFFFFF"/>
        </w:rPr>
        <w:t>la esperanza de vida al nacer actualmente es de 73.23 años, con diferencias entre hombres y mujeres (70.34 y 76.27 respectivamente); las tasas de mortalidad son mayores para los hombres que para las mujeres”</w:t>
      </w:r>
      <w:r w:rsidRPr="008F0439">
        <w:rPr>
          <w:rFonts w:ascii="Times" w:hAnsi="Times" w:cs="Arial"/>
          <w:color w:val="000000"/>
          <w:sz w:val="24"/>
          <w:szCs w:val="24"/>
          <w:shd w:val="clear" w:color="auto" w:fill="FFFFFF"/>
        </w:rPr>
        <w:t xml:space="preserve">. Siendo las causas principales de mortalidad las enfermedades cardiovasculares, seguidas por las causas violentas, </w:t>
      </w:r>
      <w:r w:rsidRPr="008F0439">
        <w:rPr>
          <w:rFonts w:ascii="Times" w:hAnsi="Times" w:cs="Arial"/>
          <w:sz w:val="24"/>
          <w:szCs w:val="24"/>
          <w:shd w:val="clear" w:color="auto" w:fill="FFFFFF"/>
        </w:rPr>
        <w:t xml:space="preserve">los tumores malignos y las enfermedades infecciosas. </w:t>
      </w:r>
    </w:p>
    <w:p w:rsidR="00255ECF" w:rsidRPr="008F0439" w:rsidRDefault="00255ECF" w:rsidP="00255ECF">
      <w:pPr>
        <w:spacing w:after="0" w:line="360" w:lineRule="auto"/>
        <w:jc w:val="both"/>
        <w:rPr>
          <w:rFonts w:ascii="Times" w:hAnsi="Times" w:cs="Arial"/>
          <w:color w:val="FF0000"/>
          <w:sz w:val="24"/>
          <w:szCs w:val="24"/>
          <w:shd w:val="clear" w:color="auto" w:fill="FFFFFF"/>
        </w:rPr>
      </w:pPr>
    </w:p>
    <w:p w:rsidR="00255ECF" w:rsidRPr="008F0439" w:rsidRDefault="00255ECF" w:rsidP="00255ECF">
      <w:pPr>
        <w:spacing w:after="0" w:line="360" w:lineRule="auto"/>
        <w:jc w:val="both"/>
        <w:rPr>
          <w:rFonts w:ascii="Times" w:hAnsi="Times" w:cs="Arial"/>
          <w:sz w:val="24"/>
          <w:szCs w:val="24"/>
          <w:shd w:val="clear" w:color="auto" w:fill="FFFFFF"/>
        </w:rPr>
      </w:pPr>
      <w:r w:rsidRPr="008F0439">
        <w:rPr>
          <w:rFonts w:ascii="Times" w:hAnsi="Times" w:cs="Arial"/>
          <w:sz w:val="24"/>
          <w:szCs w:val="24"/>
          <w:shd w:val="clear" w:color="auto" w:fill="FFFFFF"/>
        </w:rPr>
        <w:t xml:space="preserve">Las enfermedades cardiovasculares constituyen la primera causa de muerte en las personas de las naciones industrializadas y en vía de desarrollo, en </w:t>
      </w:r>
      <w:r w:rsidRPr="008F0439">
        <w:rPr>
          <w:rFonts w:ascii="Times" w:hAnsi="Times" w:cs="Arial"/>
          <w:i/>
          <w:sz w:val="24"/>
          <w:szCs w:val="24"/>
          <w:shd w:val="clear" w:color="auto" w:fill="FFFFFF"/>
        </w:rPr>
        <w:t xml:space="preserve">“Colombia, según las cifras del Instituto Nacional de Salud en 2008, la primera causa de mortalidad la ocuparon las morbilidades cardiovasculares” </w:t>
      </w:r>
      <w:r w:rsidRPr="008F0439">
        <w:rPr>
          <w:rFonts w:ascii="Times" w:hAnsi="Times" w:cs="Arial"/>
          <w:sz w:val="24"/>
          <w:szCs w:val="24"/>
          <w:shd w:val="clear" w:color="auto" w:fill="FFFFFF"/>
        </w:rPr>
        <w:t>(Machado, J. et al 2013, pp. 205).</w:t>
      </w:r>
    </w:p>
    <w:p w:rsidR="00255ECF" w:rsidRPr="008F0439" w:rsidRDefault="00255ECF" w:rsidP="00255ECF">
      <w:pPr>
        <w:spacing w:after="0" w:line="360" w:lineRule="auto"/>
        <w:jc w:val="both"/>
        <w:rPr>
          <w:rFonts w:ascii="Times" w:hAnsi="Times" w:cs="Arial"/>
          <w:color w:val="000000"/>
          <w:sz w:val="24"/>
          <w:szCs w:val="24"/>
          <w:shd w:val="clear" w:color="auto" w:fill="FFFFFF"/>
        </w:rPr>
      </w:pPr>
    </w:p>
    <w:p w:rsidR="00255ECF" w:rsidRPr="008F0439" w:rsidRDefault="00255ECF" w:rsidP="00255ECF">
      <w:pPr>
        <w:spacing w:after="0" w:line="360" w:lineRule="auto"/>
        <w:jc w:val="both"/>
        <w:rPr>
          <w:rFonts w:ascii="Times" w:hAnsi="Times" w:cs="Arial"/>
          <w:color w:val="000000"/>
          <w:sz w:val="24"/>
          <w:szCs w:val="24"/>
          <w:shd w:val="clear" w:color="auto" w:fill="FFFFFF"/>
        </w:rPr>
      </w:pPr>
      <w:r w:rsidRPr="008F0439">
        <w:rPr>
          <w:rFonts w:ascii="Times" w:hAnsi="Times" w:cs="Arial"/>
          <w:color w:val="000000"/>
          <w:sz w:val="24"/>
          <w:szCs w:val="24"/>
          <w:shd w:val="clear" w:color="auto" w:fill="FFFFFF"/>
        </w:rPr>
        <w:t xml:space="preserve">Es importante conocer que la presencia de factores de riesgo cardiovascular, aumenta cuando no se tienen las condiciones saludables durante el transcurso de la vida, si se tienen cuidados adecuados desde temprana edad el adulto mayor puede llegar a tener una mejor calidad de vida, ayudándose con procesos de prevención. Por otro lado </w:t>
      </w:r>
      <w:r w:rsidRPr="008F0439">
        <w:rPr>
          <w:rFonts w:ascii="Times" w:hAnsi="Times" w:cs="Arial"/>
          <w:i/>
          <w:color w:val="000000"/>
          <w:sz w:val="24"/>
          <w:szCs w:val="24"/>
          <w:shd w:val="clear" w:color="auto" w:fill="FFFFFF"/>
        </w:rPr>
        <w:t>“la inclusión de programas de ejercicio físico regular, adaptado a población mayor y desarrollados por profesionales del ámbito de las Ciencias de la Actividad Física, se convierte hoy por hoy en una necesidad social”.</w:t>
      </w:r>
      <w:r w:rsidRPr="008F0439">
        <w:rPr>
          <w:rFonts w:ascii="Times" w:hAnsi="Times" w:cs="Arial"/>
          <w:color w:val="000000"/>
          <w:sz w:val="24"/>
          <w:szCs w:val="24"/>
          <w:shd w:val="clear" w:color="auto" w:fill="FFFFFF"/>
        </w:rPr>
        <w:t xml:space="preserve"> (Aparicio G. et al 2010, pp. 557).</w:t>
      </w:r>
    </w:p>
    <w:p w:rsidR="00255ECF" w:rsidRPr="008F0439" w:rsidRDefault="00255ECF" w:rsidP="00255ECF">
      <w:pPr>
        <w:spacing w:after="0" w:line="360" w:lineRule="auto"/>
        <w:jc w:val="both"/>
        <w:rPr>
          <w:rFonts w:ascii="Times" w:hAnsi="Times" w:cs="Arial"/>
          <w:color w:val="000000"/>
          <w:sz w:val="24"/>
          <w:szCs w:val="24"/>
          <w:shd w:val="clear" w:color="auto" w:fill="FFFFFF"/>
        </w:rPr>
      </w:pPr>
    </w:p>
    <w:p w:rsidR="00255ECF" w:rsidRPr="008F0439" w:rsidRDefault="00255ECF" w:rsidP="00255ECF">
      <w:pPr>
        <w:spacing w:after="0" w:line="360" w:lineRule="auto"/>
        <w:jc w:val="both"/>
        <w:rPr>
          <w:rFonts w:ascii="Times" w:hAnsi="Times" w:cs="Arial"/>
          <w:sz w:val="24"/>
          <w:szCs w:val="24"/>
        </w:rPr>
      </w:pPr>
      <w:r w:rsidRPr="008F0439">
        <w:rPr>
          <w:rFonts w:ascii="Times" w:hAnsi="Times" w:cs="Arial"/>
          <w:sz w:val="24"/>
          <w:szCs w:val="24"/>
        </w:rPr>
        <w:t xml:space="preserve">En el año 2013 la Organización Mundial de la Salud (OMS) aseguro que </w:t>
      </w:r>
      <w:r w:rsidRPr="008F0439">
        <w:rPr>
          <w:rFonts w:ascii="Times" w:hAnsi="Times" w:cs="Arial"/>
          <w:i/>
          <w:sz w:val="24"/>
          <w:szCs w:val="24"/>
        </w:rPr>
        <w:t xml:space="preserve">“los accidentes vasculares cerebrales suelen ser fenómenos agudos que se deben sobre todo a obstrucciones que impiden que la sangre fluya hacia el corazón o el cerebro”, </w:t>
      </w:r>
      <w:r w:rsidRPr="008F0439">
        <w:rPr>
          <w:rFonts w:ascii="Times" w:hAnsi="Times" w:cs="Arial"/>
          <w:sz w:val="24"/>
          <w:szCs w:val="24"/>
        </w:rPr>
        <w:t xml:space="preserve">interpretándose con esto que las causas más frecuentes es la formación de depósitos de grasa en las paredes de los vasos sanguíneos que irrigan el corazón o el cerebro. </w:t>
      </w:r>
    </w:p>
    <w:p w:rsidR="00255ECF" w:rsidRPr="008F0439" w:rsidRDefault="00255ECF" w:rsidP="00255ECF">
      <w:pPr>
        <w:spacing w:after="0" w:line="360" w:lineRule="auto"/>
        <w:jc w:val="both"/>
        <w:rPr>
          <w:rFonts w:ascii="Times" w:hAnsi="Times" w:cs="Arial"/>
          <w:sz w:val="24"/>
          <w:szCs w:val="24"/>
        </w:rPr>
      </w:pPr>
    </w:p>
    <w:p w:rsidR="00255ECF" w:rsidRDefault="00255ECF" w:rsidP="009E3B03">
      <w:pPr>
        <w:spacing w:after="0" w:line="360" w:lineRule="auto"/>
        <w:jc w:val="both"/>
        <w:rPr>
          <w:rFonts w:ascii="Times" w:hAnsi="Times" w:cs="Arial"/>
          <w:sz w:val="24"/>
          <w:szCs w:val="24"/>
        </w:rPr>
      </w:pPr>
      <w:r w:rsidRPr="008F0439">
        <w:rPr>
          <w:rFonts w:ascii="Times" w:hAnsi="Times" w:cs="Arial"/>
          <w:sz w:val="24"/>
          <w:szCs w:val="24"/>
        </w:rPr>
        <w:t>De esta manera el adulto mayor tiene un riesgo más elevado que la demás población por lo que es necesario conocer la prevalencia de estos factores a nivel mundial y en un mayor rango a nivel local, para poder diseñar e implementar programas hacia la disminución de la frecuencia en esta población especifica sin dejar a un lado grupos de individuos más jóvenes.</w:t>
      </w:r>
    </w:p>
    <w:p w:rsidR="009E3B03" w:rsidRPr="008F0439" w:rsidRDefault="009E3B03" w:rsidP="009E3B03">
      <w:pPr>
        <w:spacing w:after="0" w:line="360" w:lineRule="auto"/>
        <w:jc w:val="both"/>
        <w:rPr>
          <w:rFonts w:ascii="Times" w:hAnsi="Times" w:cs="Arial"/>
          <w:sz w:val="24"/>
          <w:szCs w:val="24"/>
        </w:rPr>
      </w:pPr>
    </w:p>
    <w:p w:rsidR="00E60CC4" w:rsidRDefault="00933F8A" w:rsidP="00E60CC4">
      <w:pPr>
        <w:autoSpaceDE w:val="0"/>
        <w:autoSpaceDN w:val="0"/>
        <w:adjustRightInd w:val="0"/>
        <w:spacing w:after="0" w:line="360" w:lineRule="auto"/>
        <w:jc w:val="both"/>
        <w:rPr>
          <w:rFonts w:ascii="Times" w:hAnsi="Times" w:cs="Arial"/>
          <w:sz w:val="24"/>
          <w:szCs w:val="24"/>
        </w:rPr>
      </w:pPr>
      <w:r w:rsidRPr="008F0439">
        <w:rPr>
          <w:rFonts w:ascii="Times" w:hAnsi="Times" w:cs="Arial"/>
          <w:sz w:val="24"/>
          <w:szCs w:val="24"/>
        </w:rPr>
        <w:lastRenderedPageBreak/>
        <w:t>Atendiendo a los argumentos presentados el presente estudio se plantea como objetivo analizar y clasificar el nivel de riesgo cardiovascular de los mayores entre 50 y 70 años de la ciudad de Bogotá que participan de los programas recreodeportivos del Intituto Distrital de Recreacíon y Deporte.</w:t>
      </w:r>
    </w:p>
    <w:p w:rsidR="00AE6D34" w:rsidRPr="00AE6D34" w:rsidRDefault="00AE6D34" w:rsidP="00E60CC4">
      <w:pPr>
        <w:autoSpaceDE w:val="0"/>
        <w:autoSpaceDN w:val="0"/>
        <w:adjustRightInd w:val="0"/>
        <w:spacing w:after="0" w:line="360" w:lineRule="auto"/>
        <w:jc w:val="both"/>
        <w:rPr>
          <w:rFonts w:ascii="Times" w:hAnsi="Times" w:cs="Arial"/>
          <w:sz w:val="24"/>
          <w:szCs w:val="24"/>
        </w:rPr>
      </w:pPr>
    </w:p>
    <w:p w:rsidR="00E60CC4" w:rsidRPr="009A5EF9" w:rsidRDefault="00AE6D34" w:rsidP="00E60CC4">
      <w:pPr>
        <w:autoSpaceDE w:val="0"/>
        <w:autoSpaceDN w:val="0"/>
        <w:adjustRightInd w:val="0"/>
        <w:spacing w:after="0" w:line="360" w:lineRule="auto"/>
        <w:jc w:val="both"/>
        <w:rPr>
          <w:rFonts w:ascii="Times" w:hAnsi="Times" w:cs="Times New Roman"/>
          <w:b/>
          <w:sz w:val="28"/>
          <w:szCs w:val="24"/>
        </w:rPr>
      </w:pPr>
      <w:r>
        <w:rPr>
          <w:rFonts w:ascii="Times" w:hAnsi="Times" w:cs="Times New Roman"/>
          <w:b/>
          <w:sz w:val="28"/>
          <w:szCs w:val="24"/>
        </w:rPr>
        <w:t>5</w:t>
      </w:r>
      <w:r w:rsidR="009A5EF9">
        <w:rPr>
          <w:rFonts w:ascii="Times" w:hAnsi="Times" w:cs="Times New Roman"/>
          <w:b/>
          <w:sz w:val="28"/>
          <w:szCs w:val="24"/>
        </w:rPr>
        <w:t xml:space="preserve">. </w:t>
      </w:r>
      <w:r w:rsidR="00E60CC4" w:rsidRPr="009A5EF9">
        <w:rPr>
          <w:rFonts w:ascii="Times" w:hAnsi="Times" w:cs="Times New Roman"/>
          <w:b/>
          <w:sz w:val="28"/>
          <w:szCs w:val="24"/>
          <w:u w:val="single"/>
        </w:rPr>
        <w:t>Marco conceptual</w:t>
      </w:r>
    </w:p>
    <w:p w:rsidR="00E60CC4" w:rsidRPr="008F0439" w:rsidRDefault="00E60CC4" w:rsidP="00E60CC4">
      <w:pPr>
        <w:autoSpaceDE w:val="0"/>
        <w:autoSpaceDN w:val="0"/>
        <w:adjustRightInd w:val="0"/>
        <w:spacing w:after="0" w:line="360" w:lineRule="auto"/>
        <w:jc w:val="both"/>
        <w:rPr>
          <w:rFonts w:ascii="Times" w:hAnsi="Times" w:cs="Times New Roman"/>
          <w:sz w:val="24"/>
          <w:szCs w:val="24"/>
        </w:rPr>
      </w:pPr>
      <w:r w:rsidRPr="008F0439">
        <w:rPr>
          <w:rFonts w:ascii="Times" w:hAnsi="Times" w:cs="Times New Roman"/>
          <w:sz w:val="24"/>
          <w:szCs w:val="24"/>
        </w:rPr>
        <w:t>El envejecimiento  es catalogado por la mayoría de autores  un proceso natural que desarrolla el ser humano a través del transcurrir de sus años de vida, el cual se caracteriza por ser progresivo y a su vez por traer consigo el deterioro de la capacidad funcional del organismo, dando como resultado el surgimiento de enfermedades entre ellas la diabetes, la hipertensión entre otras (Pérez &amp; Sierra, 2009; Gonzales et al, 2007).</w:t>
      </w:r>
    </w:p>
    <w:p w:rsidR="00E60CC4" w:rsidRPr="008F0439" w:rsidRDefault="00E60CC4" w:rsidP="00E60CC4">
      <w:pPr>
        <w:autoSpaceDE w:val="0"/>
        <w:autoSpaceDN w:val="0"/>
        <w:adjustRightInd w:val="0"/>
        <w:spacing w:after="0" w:line="360" w:lineRule="auto"/>
        <w:jc w:val="both"/>
        <w:rPr>
          <w:rFonts w:ascii="Times" w:hAnsi="Times" w:cs="Times New Roman"/>
          <w:sz w:val="24"/>
          <w:szCs w:val="24"/>
        </w:rPr>
      </w:pPr>
      <w:r w:rsidRPr="008F0439">
        <w:rPr>
          <w:rFonts w:ascii="Times" w:hAnsi="Times" w:cs="Times New Roman"/>
          <w:sz w:val="24"/>
          <w:szCs w:val="24"/>
        </w:rPr>
        <w:t>A partir de este concepto, se desglosan infinidad de realidades que determinaran el ser y estar de la dicha población adulta en la sociedad, dentro de las realidades mencionadas nos centraremos en aquella que determina el estado del organismo, específicamente cuando el mismo presenta deterioro en su funcionamiento, llegando consigo la enfermedad, la cual es definida como “Alteración o desviación del estado fisiológico en una o varias partes del cuerpo, por causas en general conocidas, manifestada por síntomas y signos característicos, y cuya evolución es más o menos previsible” (O.M.S., 2012).</w:t>
      </w:r>
    </w:p>
    <w:p w:rsidR="00E60CC4" w:rsidRPr="008F0439" w:rsidRDefault="00E60CC4" w:rsidP="00E60CC4">
      <w:pPr>
        <w:pStyle w:val="NormalWeb"/>
        <w:shd w:val="clear" w:color="auto" w:fill="FFFFFF"/>
        <w:spacing w:before="0" w:beforeAutospacing="0" w:after="0" w:afterAutospacing="0" w:line="360" w:lineRule="auto"/>
        <w:jc w:val="both"/>
        <w:textAlignment w:val="baseline"/>
        <w:rPr>
          <w:rStyle w:val="apple-style-span"/>
          <w:rFonts w:ascii="Times" w:hAnsi="Times"/>
          <w:shd w:val="clear" w:color="auto" w:fill="FFFFFF"/>
        </w:rPr>
      </w:pPr>
      <w:r w:rsidRPr="008F0439">
        <w:rPr>
          <w:rFonts w:ascii="Times" w:hAnsi="Times"/>
        </w:rPr>
        <w:t xml:space="preserve">Ahora bien, al relacionar el envejecimiento con la enfermedad, debemos hacer una claridad un poco más específica en lo que respecta al presente estudio,  en la cual, se encontrarían las enfermedades crónicas no trasmisibles, las cuales </w:t>
      </w:r>
      <w:r w:rsidRPr="00DF0A20">
        <w:rPr>
          <w:rStyle w:val="Textoennegrita"/>
          <w:rFonts w:ascii="Times" w:hAnsi="Times"/>
          <w:b w:val="0"/>
          <w:shd w:val="clear" w:color="auto" w:fill="FFFFFF"/>
        </w:rPr>
        <w:t>según la OMS (2013)</w:t>
      </w:r>
      <w:r w:rsidRPr="00DF0A20">
        <w:rPr>
          <w:rStyle w:val="apple-style-span"/>
          <w:rFonts w:ascii="Times" w:hAnsi="Times"/>
          <w:b/>
          <w:shd w:val="clear" w:color="auto" w:fill="FFFFFF"/>
        </w:rPr>
        <w:t>,</w:t>
      </w:r>
      <w:r w:rsidRPr="008F0439">
        <w:rPr>
          <w:rStyle w:val="apple-style-span"/>
          <w:rFonts w:ascii="Times" w:hAnsi="Times"/>
          <w:shd w:val="clear" w:color="auto" w:fill="FFFFFF"/>
        </w:rPr>
        <w:t xml:space="preserve"> no se transmiten de persona a persona, son de larga duración y por lo general evolucionan lentamente. Los cuatro tipos principales de enfermedades no transmisibles son las enfermedades cardiovasculares (como ataques cardiacos y accidentes cerebrovasculares), el cáncer, las enfermedades respiratorias crónicas (como la enfermedad pulmonar obstructiva crónica y el asma) y la diabetes.</w:t>
      </w:r>
    </w:p>
    <w:p w:rsidR="00E60CC4" w:rsidRPr="008F0439" w:rsidRDefault="00E60CC4" w:rsidP="00E60CC4">
      <w:pPr>
        <w:pStyle w:val="NormalWeb"/>
        <w:shd w:val="clear" w:color="auto" w:fill="FFFFFF"/>
        <w:spacing w:before="0" w:beforeAutospacing="0" w:after="0" w:afterAutospacing="0" w:line="360" w:lineRule="auto"/>
        <w:jc w:val="both"/>
        <w:textAlignment w:val="baseline"/>
        <w:rPr>
          <w:rFonts w:ascii="Times" w:hAnsi="Times"/>
        </w:rPr>
      </w:pPr>
      <w:r w:rsidRPr="008F0439">
        <w:rPr>
          <w:rStyle w:val="apple-style-span"/>
          <w:rFonts w:ascii="Times" w:hAnsi="Times"/>
          <w:shd w:val="clear" w:color="auto" w:fill="FFFFFF"/>
        </w:rPr>
        <w:t xml:space="preserve">Los principales factores de riesgo que se relacionan con las ECNT se dividen en dos grupos, unos llamados los factores de riesgo modificables en los que se encuentran entre otros el tabaquismo, el consumo de alcohol, el sedentarismo; y por otro lado se distinguen los factores de riesgo de tipo fisiológico, en los que se encuentran específicamente cuatro cambios fisiológicos que aumentan el riesgo de padecer algún tipo de ECNT, los cuatro </w:t>
      </w:r>
      <w:r w:rsidRPr="008F0439">
        <w:rPr>
          <w:rStyle w:val="apple-style-span"/>
          <w:rFonts w:ascii="Times" w:hAnsi="Times"/>
          <w:shd w:val="clear" w:color="auto" w:fill="FFFFFF"/>
        </w:rPr>
        <w:lastRenderedPageBreak/>
        <w:t xml:space="preserve">cambios se distinguen de la siguiente manera: a) </w:t>
      </w:r>
      <w:r w:rsidRPr="008F0439">
        <w:rPr>
          <w:rFonts w:ascii="Times" w:hAnsi="Times"/>
          <w:shd w:val="clear" w:color="auto" w:fill="FFFFFF"/>
        </w:rPr>
        <w:t xml:space="preserve">hipertensión arterial, sobrepeso/obesidad, hiperglucemia (niveles elevados de glucosa en sangre) e hiperlipidemia (niveles altos de lípidos en la sangre) (O.M.S., 2013; </w:t>
      </w:r>
      <w:r w:rsidRPr="008F0439">
        <w:rPr>
          <w:rFonts w:ascii="Times" w:hAnsi="Times"/>
        </w:rPr>
        <w:t>Fagalde et al, 2005).</w:t>
      </w:r>
    </w:p>
    <w:p w:rsidR="00E60CC4" w:rsidRPr="008F0439" w:rsidRDefault="00E60CC4" w:rsidP="00E60CC4">
      <w:pPr>
        <w:pStyle w:val="NormalWeb"/>
        <w:shd w:val="clear" w:color="auto" w:fill="FFFFFF"/>
        <w:spacing w:before="0" w:beforeAutospacing="0" w:after="0" w:afterAutospacing="0" w:line="360" w:lineRule="auto"/>
        <w:jc w:val="both"/>
        <w:textAlignment w:val="baseline"/>
        <w:rPr>
          <w:rFonts w:ascii="Times" w:hAnsi="Times"/>
        </w:rPr>
      </w:pPr>
    </w:p>
    <w:p w:rsidR="00E60CC4" w:rsidRPr="008F0439" w:rsidRDefault="00E60CC4" w:rsidP="00E60CC4">
      <w:pPr>
        <w:pStyle w:val="NormalWeb"/>
        <w:shd w:val="clear" w:color="auto" w:fill="FFFFFF"/>
        <w:spacing w:before="0" w:beforeAutospacing="0" w:after="0" w:afterAutospacing="0" w:line="360" w:lineRule="auto"/>
        <w:jc w:val="both"/>
        <w:textAlignment w:val="baseline"/>
        <w:rPr>
          <w:rFonts w:ascii="Times" w:hAnsi="Times"/>
        </w:rPr>
      </w:pPr>
      <w:r w:rsidRPr="008F0439">
        <w:rPr>
          <w:rFonts w:ascii="Times" w:hAnsi="Times"/>
        </w:rPr>
        <w:t xml:space="preserve">Ahora bien teniendo en cuenta que los datos arrojados por la teoría, afirman que las enfermedades más comunes en la población adulta son las enfermedades de orden cardiovascular, será necesario el establecer cuales son y cómo se han definido en la teoría, de tal forma que las ECV serán definidas como enfermedades </w:t>
      </w:r>
      <w:r w:rsidRPr="008F0439">
        <w:rPr>
          <w:rFonts w:ascii="Times" w:hAnsi="Times"/>
          <w:bdr w:val="none" w:sz="0" w:space="0" w:color="auto" w:frame="1"/>
        </w:rPr>
        <w:t xml:space="preserve"> del corazón y de los vasos sanguíneos, las cuales se establecen de la siguiente manera: </w:t>
      </w:r>
      <w:r w:rsidRPr="008F0439">
        <w:rPr>
          <w:rFonts w:ascii="Times" w:hAnsi="Times"/>
        </w:rPr>
        <w:t>La cardiopatía coronaria – enfermedad de los vasos sanguíneos que irrigan el músculo cardiaco (miocardio); las enfermedades cerebrovasculares – enfermedades de los vasos sanguíneos que irrigan el cerebro; las arteriopatías periféricas – enfermedades de los vasos sanguíneos que irrigan los miembros superiores e inferiores; la cardiopatía reumática – lesiones del miocardio y de las válvulas cardíacas debidas a la fiebre reumática, una enfermedad causada por bacterias denominadas estreptococos; las cardiopatías congénitas – malformaciones del corazón presentes desde el nacimiento; y las trombosis venosas profundas y embolias pulmonares – coágulos de sangre (trombos) en las venas de las piernas, que pueden desprenderse (émbolos) y alojarse en los vasos del corazón o en los pulmones (O.M.S., 2013); de ellas se ha investigado a través de los últimos años,  hallando una relación directa con el acercamiento de las personas a una edad madura, llegando a la conclusión que este grupo de enfermedades en un futuro va a llegar a convertirse en la primer causa de muerte en el mundo, afectando principalmente a el adulto mayor (Jackson &amp; Wenger, 2011).</w:t>
      </w:r>
    </w:p>
    <w:p w:rsidR="006C2174" w:rsidRDefault="006C2174" w:rsidP="004C1C71">
      <w:pPr>
        <w:suppressAutoHyphens/>
        <w:autoSpaceDN w:val="0"/>
        <w:spacing w:after="0" w:line="360" w:lineRule="auto"/>
        <w:jc w:val="both"/>
        <w:textAlignment w:val="baseline"/>
        <w:rPr>
          <w:rFonts w:ascii="Times" w:hAnsi="Times"/>
          <w:b/>
          <w:sz w:val="28"/>
          <w:szCs w:val="24"/>
        </w:rPr>
      </w:pPr>
    </w:p>
    <w:p w:rsidR="004C1C71" w:rsidRPr="004C1C71" w:rsidRDefault="004C1C71" w:rsidP="004C1C71">
      <w:pPr>
        <w:suppressAutoHyphens/>
        <w:autoSpaceDN w:val="0"/>
        <w:spacing w:after="0" w:line="360" w:lineRule="auto"/>
        <w:jc w:val="both"/>
        <w:textAlignment w:val="baseline"/>
        <w:rPr>
          <w:rFonts w:ascii="Times" w:hAnsi="Times"/>
          <w:b/>
          <w:sz w:val="28"/>
          <w:szCs w:val="24"/>
          <w:u w:val="single"/>
        </w:rPr>
      </w:pPr>
      <w:r w:rsidRPr="004C1C71">
        <w:rPr>
          <w:rFonts w:ascii="Times" w:hAnsi="Times"/>
          <w:b/>
          <w:sz w:val="28"/>
          <w:szCs w:val="24"/>
        </w:rPr>
        <w:t xml:space="preserve">6. </w:t>
      </w:r>
      <w:r w:rsidRPr="004C1C71">
        <w:rPr>
          <w:rFonts w:ascii="Times" w:hAnsi="Times"/>
          <w:b/>
          <w:sz w:val="28"/>
          <w:szCs w:val="24"/>
          <w:u w:val="single"/>
        </w:rPr>
        <w:t>Contribución del proyecto a las líneas de investigación del grupo</w:t>
      </w:r>
    </w:p>
    <w:p w:rsidR="004C1C71" w:rsidRDefault="00A776E7" w:rsidP="004C1C71">
      <w:pPr>
        <w:spacing w:after="0" w:line="360" w:lineRule="auto"/>
        <w:jc w:val="both"/>
        <w:rPr>
          <w:rFonts w:ascii="Times" w:hAnsi="Times" w:cs="Arial"/>
          <w:sz w:val="24"/>
          <w:szCs w:val="24"/>
        </w:rPr>
      </w:pPr>
      <w:r>
        <w:rPr>
          <w:rFonts w:ascii="Times" w:hAnsi="Times" w:cs="Arial"/>
          <w:sz w:val="24"/>
          <w:szCs w:val="24"/>
        </w:rPr>
        <w:t>El proyecto relacionado con el estudio del</w:t>
      </w:r>
      <w:r w:rsidR="004C1C71" w:rsidRPr="004C1C71">
        <w:rPr>
          <w:rFonts w:ascii="Times" w:hAnsi="Times" w:cs="Arial"/>
          <w:sz w:val="24"/>
          <w:szCs w:val="24"/>
        </w:rPr>
        <w:t xml:space="preserve"> riesgo cardiovacular de mayores entre 50 y 80 años físicamente activos de la ciudad de Bogotá</w:t>
      </w:r>
      <w:r>
        <w:rPr>
          <w:rFonts w:ascii="Times" w:hAnsi="Times" w:cs="Arial"/>
          <w:sz w:val="24"/>
          <w:szCs w:val="24"/>
        </w:rPr>
        <w:t xml:space="preserve"> hace parte de la línea en Fisiología del Ejercicio y el Entrenamiento, dentro del Grupo de Investigación en Ciencias Aplicadas a la Actividad Física, el Deporte y la Salud (GICAEDS, catogorización B Colciencias), el cual se une a un conjunto de trabajos realizados sobre el fenómeno y con comunidades especiales, que nos destacan en el campo de la salud y nos permiten:</w:t>
      </w:r>
    </w:p>
    <w:p w:rsidR="00A776E7" w:rsidRDefault="00A776E7" w:rsidP="004C1C71">
      <w:pPr>
        <w:spacing w:after="0" w:line="360" w:lineRule="auto"/>
        <w:jc w:val="both"/>
        <w:rPr>
          <w:rFonts w:ascii="Times" w:hAnsi="Times" w:cs="Arial"/>
          <w:sz w:val="24"/>
          <w:szCs w:val="24"/>
        </w:rPr>
      </w:pPr>
    </w:p>
    <w:p w:rsidR="00A776E7" w:rsidRDefault="00A776E7" w:rsidP="00A776E7">
      <w:pPr>
        <w:pStyle w:val="Prrafodelista"/>
        <w:numPr>
          <w:ilvl w:val="0"/>
          <w:numId w:val="17"/>
        </w:numPr>
        <w:spacing w:after="0" w:line="360" w:lineRule="auto"/>
        <w:jc w:val="both"/>
        <w:rPr>
          <w:rFonts w:ascii="Times" w:hAnsi="Times" w:cs="Arial"/>
          <w:sz w:val="24"/>
          <w:szCs w:val="24"/>
        </w:rPr>
      </w:pPr>
      <w:r>
        <w:rPr>
          <w:rFonts w:ascii="Times" w:hAnsi="Times" w:cs="Arial"/>
          <w:sz w:val="24"/>
          <w:szCs w:val="24"/>
        </w:rPr>
        <w:lastRenderedPageBreak/>
        <w:t>Articular el ejercicio profesional de los estudiantes de pre-grado y pos-grado con el trabajo con comunidades especiales.</w:t>
      </w:r>
    </w:p>
    <w:p w:rsidR="00A776E7" w:rsidRDefault="00A776E7" w:rsidP="00A776E7">
      <w:pPr>
        <w:pStyle w:val="Prrafodelista"/>
        <w:numPr>
          <w:ilvl w:val="0"/>
          <w:numId w:val="17"/>
        </w:numPr>
        <w:spacing w:after="0" w:line="360" w:lineRule="auto"/>
        <w:jc w:val="both"/>
        <w:rPr>
          <w:rFonts w:ascii="Times" w:hAnsi="Times" w:cs="Arial"/>
          <w:sz w:val="24"/>
          <w:szCs w:val="24"/>
        </w:rPr>
      </w:pPr>
      <w:r>
        <w:rPr>
          <w:rFonts w:ascii="Times" w:hAnsi="Times" w:cs="Arial"/>
          <w:sz w:val="24"/>
          <w:szCs w:val="24"/>
        </w:rPr>
        <w:t>Abanderar una serie de estudios que permiten fortalecer los modelos sanitarios en diferentes niveles.</w:t>
      </w:r>
    </w:p>
    <w:p w:rsidR="00A776E7" w:rsidRDefault="00A776E7" w:rsidP="00A776E7">
      <w:pPr>
        <w:pStyle w:val="Prrafodelista"/>
        <w:numPr>
          <w:ilvl w:val="0"/>
          <w:numId w:val="17"/>
        </w:numPr>
        <w:spacing w:after="0" w:line="360" w:lineRule="auto"/>
        <w:jc w:val="both"/>
        <w:rPr>
          <w:rFonts w:ascii="Times" w:hAnsi="Times" w:cs="Arial"/>
          <w:sz w:val="24"/>
          <w:szCs w:val="24"/>
        </w:rPr>
      </w:pPr>
      <w:r>
        <w:rPr>
          <w:rFonts w:ascii="Times" w:hAnsi="Times" w:cs="Arial"/>
          <w:sz w:val="24"/>
          <w:szCs w:val="24"/>
        </w:rPr>
        <w:t>Incursionar el sector público y privado de salud, recreación y deporte con propuestas interdisciplinares y transdisciplinares.</w:t>
      </w:r>
    </w:p>
    <w:p w:rsidR="00A776E7" w:rsidRDefault="00A776E7" w:rsidP="00A776E7">
      <w:pPr>
        <w:pStyle w:val="Prrafodelista"/>
        <w:numPr>
          <w:ilvl w:val="0"/>
          <w:numId w:val="17"/>
        </w:numPr>
        <w:spacing w:after="0" w:line="360" w:lineRule="auto"/>
        <w:jc w:val="both"/>
        <w:rPr>
          <w:rFonts w:ascii="Times" w:hAnsi="Times" w:cs="Arial"/>
          <w:sz w:val="24"/>
          <w:szCs w:val="24"/>
        </w:rPr>
      </w:pPr>
      <w:r>
        <w:rPr>
          <w:rFonts w:ascii="Times" w:hAnsi="Times" w:cs="Arial"/>
          <w:sz w:val="24"/>
          <w:szCs w:val="24"/>
        </w:rPr>
        <w:t>Contribuir con  el factor de proyección social a la comuidad, propio de las políticas de la Universidad.</w:t>
      </w:r>
    </w:p>
    <w:p w:rsidR="004C1C71" w:rsidRPr="00AE6D34" w:rsidRDefault="00A776E7" w:rsidP="00255ECF">
      <w:pPr>
        <w:pStyle w:val="Prrafodelista"/>
        <w:numPr>
          <w:ilvl w:val="0"/>
          <w:numId w:val="17"/>
        </w:numPr>
        <w:spacing w:after="0" w:line="360" w:lineRule="auto"/>
        <w:jc w:val="both"/>
        <w:rPr>
          <w:rFonts w:ascii="Times" w:hAnsi="Times" w:cs="Arial"/>
          <w:sz w:val="24"/>
          <w:szCs w:val="24"/>
        </w:rPr>
      </w:pPr>
      <w:r>
        <w:rPr>
          <w:rFonts w:ascii="Times" w:hAnsi="Times" w:cs="Arial"/>
          <w:sz w:val="24"/>
          <w:szCs w:val="24"/>
        </w:rPr>
        <w:t>Fortalecer la línea medular de Henri Didón, la cual resctata el rol del movimiento para el sano desarrollo de sujeto social.</w:t>
      </w:r>
    </w:p>
    <w:p w:rsidR="00886359" w:rsidRDefault="00886359" w:rsidP="009A5EF9">
      <w:pPr>
        <w:spacing w:after="0" w:line="360" w:lineRule="auto"/>
        <w:jc w:val="both"/>
        <w:rPr>
          <w:rFonts w:ascii="Times" w:hAnsi="Times" w:cs="Arial"/>
          <w:color w:val="000000"/>
          <w:sz w:val="28"/>
          <w:szCs w:val="24"/>
          <w:shd w:val="clear" w:color="auto" w:fill="FFFFFF"/>
        </w:rPr>
      </w:pPr>
    </w:p>
    <w:p w:rsidR="00AE3874" w:rsidRPr="009A5EF9" w:rsidRDefault="004C1C71" w:rsidP="009A5EF9">
      <w:pPr>
        <w:spacing w:after="0" w:line="360" w:lineRule="auto"/>
        <w:jc w:val="both"/>
        <w:rPr>
          <w:rFonts w:ascii="Times" w:hAnsi="Times" w:cs="Arial"/>
          <w:color w:val="000000"/>
          <w:sz w:val="28"/>
          <w:szCs w:val="24"/>
          <w:u w:val="single"/>
          <w:shd w:val="clear" w:color="auto" w:fill="FFFFFF"/>
        </w:rPr>
      </w:pPr>
      <w:r>
        <w:rPr>
          <w:rFonts w:ascii="Times" w:hAnsi="Times" w:cs="Arial"/>
          <w:color w:val="000000"/>
          <w:sz w:val="28"/>
          <w:szCs w:val="24"/>
          <w:shd w:val="clear" w:color="auto" w:fill="FFFFFF"/>
        </w:rPr>
        <w:t>7</w:t>
      </w:r>
      <w:r w:rsidR="009A5EF9" w:rsidRPr="009A5EF9">
        <w:rPr>
          <w:rFonts w:ascii="Times" w:hAnsi="Times" w:cs="Arial"/>
          <w:color w:val="000000"/>
          <w:sz w:val="28"/>
          <w:szCs w:val="24"/>
          <w:shd w:val="clear" w:color="auto" w:fill="FFFFFF"/>
        </w:rPr>
        <w:t xml:space="preserve">. </w:t>
      </w:r>
      <w:r w:rsidR="00AE3874" w:rsidRPr="009A5EF9">
        <w:rPr>
          <w:rFonts w:ascii="Times" w:hAnsi="Times" w:cs="Arial"/>
          <w:b/>
          <w:sz w:val="28"/>
          <w:szCs w:val="24"/>
          <w:u w:val="single"/>
        </w:rPr>
        <w:t>Materiales y métodos</w:t>
      </w:r>
    </w:p>
    <w:p w:rsidR="00AE3874" w:rsidRPr="008F0439" w:rsidRDefault="00AE3874" w:rsidP="00AE6D34">
      <w:pPr>
        <w:autoSpaceDE w:val="0"/>
        <w:autoSpaceDN w:val="0"/>
        <w:adjustRightInd w:val="0"/>
        <w:spacing w:after="0" w:line="360" w:lineRule="auto"/>
        <w:jc w:val="both"/>
        <w:rPr>
          <w:rFonts w:ascii="Times" w:hAnsi="Times" w:cs="Arial"/>
          <w:sz w:val="24"/>
          <w:szCs w:val="24"/>
        </w:rPr>
      </w:pPr>
      <w:r w:rsidRPr="007D363E">
        <w:rPr>
          <w:rFonts w:ascii="Times" w:hAnsi="Times" w:cs="Arial"/>
          <w:i/>
          <w:sz w:val="24"/>
          <w:szCs w:val="24"/>
          <w:u w:val="single"/>
        </w:rPr>
        <w:t>Diseño propuesto:</w:t>
      </w:r>
      <w:r w:rsidRPr="008F0439">
        <w:rPr>
          <w:rFonts w:ascii="Times" w:hAnsi="Times" w:cs="Arial"/>
          <w:sz w:val="24"/>
          <w:szCs w:val="24"/>
        </w:rPr>
        <w:t>el estudio hace parte de los diseños no experimentales traseccionales con un nivel descriptivo y correlacional. En un primer momento se orienta a realizar un perfil de riesgo cardiovascular por p</w:t>
      </w:r>
      <w:r w:rsidR="0043065F" w:rsidRPr="008F0439">
        <w:rPr>
          <w:rFonts w:ascii="Times" w:hAnsi="Times" w:cs="Arial"/>
          <w:sz w:val="24"/>
          <w:szCs w:val="24"/>
        </w:rPr>
        <w:t>articipante y grupo, que permite</w:t>
      </w:r>
      <w:r w:rsidRPr="008F0439">
        <w:rPr>
          <w:rFonts w:ascii="Times" w:hAnsi="Times" w:cs="Arial"/>
          <w:sz w:val="24"/>
          <w:szCs w:val="24"/>
        </w:rPr>
        <w:t xml:space="preserve"> identificar el estado de riesgo, ordenarlo y clasificarlo. En una segunda fase, se procede a relacionar las variables (modelo multivariado) y realiz</w:t>
      </w:r>
      <w:r w:rsidR="0043065F" w:rsidRPr="008F0439">
        <w:rPr>
          <w:rFonts w:ascii="Times" w:hAnsi="Times" w:cs="Arial"/>
          <w:sz w:val="24"/>
          <w:szCs w:val="24"/>
        </w:rPr>
        <w:t>ar las regresiones estadísticas</w:t>
      </w:r>
      <w:r w:rsidRPr="008F0439">
        <w:rPr>
          <w:rFonts w:ascii="Times" w:hAnsi="Times" w:cs="Arial"/>
          <w:sz w:val="24"/>
          <w:szCs w:val="24"/>
        </w:rPr>
        <w:t xml:space="preserve"> que permitan identificar niveles y fuerza de asociación de riesgo.</w:t>
      </w:r>
    </w:p>
    <w:p w:rsidR="00EE78EE" w:rsidRPr="008F0439" w:rsidRDefault="00EE78EE" w:rsidP="009A34FE">
      <w:pPr>
        <w:autoSpaceDE w:val="0"/>
        <w:autoSpaceDN w:val="0"/>
        <w:adjustRightInd w:val="0"/>
        <w:spacing w:after="0" w:line="360" w:lineRule="auto"/>
        <w:jc w:val="both"/>
        <w:rPr>
          <w:rFonts w:ascii="Times" w:hAnsi="Times" w:cs="Arial"/>
          <w:sz w:val="24"/>
          <w:szCs w:val="24"/>
        </w:rPr>
      </w:pPr>
      <w:r w:rsidRPr="007D363E">
        <w:rPr>
          <w:rFonts w:ascii="Times" w:hAnsi="Times" w:cs="Arial"/>
          <w:i/>
          <w:sz w:val="24"/>
          <w:szCs w:val="24"/>
          <w:u w:val="single"/>
        </w:rPr>
        <w:t>Consideraciones bioéticas:</w:t>
      </w:r>
      <w:r w:rsidRPr="008F0439">
        <w:rPr>
          <w:rFonts w:ascii="Times" w:hAnsi="Times" w:cs="Arial"/>
          <w:sz w:val="24"/>
          <w:szCs w:val="24"/>
        </w:rPr>
        <w:t xml:space="preserve"> el estudio atiende a las normas nacionales e internacionales para la investigación con humanos, específicamente a la actualización de la Declaración de Helsinki (1993) y la norma Colombiana 8430 de 1993. Atendiendo a dichos pronunciamientos el estudio se clasifica en un nivel de riesgo bajo, ya que los protocolos e intrumentos empleados han sido validados con población adulta mayor de 50 años, brindan información de control diagnóstico y no representan riesgo para la salud e integridad de los participantes. No obstante, es necesario establecer un marco que filtre las condiciones de participación de los sujetos, y que para esta investigación se describe de la siguiente manera:</w:t>
      </w:r>
    </w:p>
    <w:p w:rsidR="0043065F" w:rsidRPr="009E3B03" w:rsidRDefault="00EE78EE" w:rsidP="009E3B03">
      <w:pPr>
        <w:autoSpaceDE w:val="0"/>
        <w:autoSpaceDN w:val="0"/>
        <w:adjustRightInd w:val="0"/>
        <w:spacing w:after="0" w:line="360" w:lineRule="auto"/>
        <w:jc w:val="both"/>
        <w:rPr>
          <w:rFonts w:ascii="Times" w:hAnsi="Times" w:cs="Arial"/>
          <w:sz w:val="24"/>
          <w:szCs w:val="24"/>
        </w:rPr>
      </w:pPr>
      <w:r w:rsidRPr="009E3B03">
        <w:rPr>
          <w:rFonts w:ascii="Times" w:hAnsi="Times" w:cs="Arial"/>
          <w:i/>
          <w:sz w:val="24"/>
          <w:szCs w:val="24"/>
          <w:u w:val="single"/>
        </w:rPr>
        <w:t>Criterios de inclusión:</w:t>
      </w:r>
      <w:r w:rsidR="00314F16" w:rsidRPr="009E3B03">
        <w:rPr>
          <w:rFonts w:ascii="Times" w:hAnsi="Times" w:cs="Arial"/>
          <w:sz w:val="24"/>
          <w:szCs w:val="24"/>
        </w:rPr>
        <w:t xml:space="preserve">los participantes deben estar en un rango de edad entre los 50 y los 80 años, género (masculino y femenido), ser lideres activos del programa de adultos mayores de Intituto Distrital de Recreación y Deporte (IDRD), cumplir con una práctica </w:t>
      </w:r>
      <w:r w:rsidR="00314F16" w:rsidRPr="009E3B03">
        <w:rPr>
          <w:rFonts w:ascii="Times" w:hAnsi="Times" w:cs="Arial"/>
          <w:sz w:val="24"/>
          <w:szCs w:val="24"/>
        </w:rPr>
        <w:lastRenderedPageBreak/>
        <w:t>mínima de 4 días por semana, ser participantes activos por un periodo no inferior a seis meses, contar con autorización médica para la práctica física.</w:t>
      </w:r>
    </w:p>
    <w:p w:rsidR="00314F16" w:rsidRPr="007D363E" w:rsidRDefault="00314F16" w:rsidP="007D363E">
      <w:pPr>
        <w:pStyle w:val="Prrafodelista"/>
        <w:numPr>
          <w:ilvl w:val="0"/>
          <w:numId w:val="23"/>
        </w:numPr>
        <w:spacing w:line="360" w:lineRule="auto"/>
        <w:ind w:left="360"/>
        <w:jc w:val="both"/>
        <w:rPr>
          <w:rFonts w:ascii="Times" w:hAnsi="Times" w:cs="Arial"/>
          <w:sz w:val="24"/>
          <w:szCs w:val="24"/>
        </w:rPr>
      </w:pPr>
      <w:r w:rsidRPr="007D363E">
        <w:rPr>
          <w:rFonts w:ascii="Times" w:hAnsi="Times" w:cs="Arial"/>
          <w:i/>
          <w:sz w:val="24"/>
          <w:szCs w:val="24"/>
          <w:u w:val="single"/>
        </w:rPr>
        <w:t>Criterios de exclusión:</w:t>
      </w:r>
      <w:r w:rsidRPr="007D363E">
        <w:rPr>
          <w:rFonts w:ascii="Times" w:hAnsi="Times" w:cs="Arial"/>
          <w:sz w:val="24"/>
          <w:szCs w:val="24"/>
        </w:rPr>
        <w:t xml:space="preserve"> pese a presentar por escrito la autorización médica para la práctica será excluido de la investigación aquellos sujetos que presenten deformidad de la columna vertebral,  en miembros superiores o inferiores, amputaciones, uso de prótesis, uso de algún tratamiento con esteroides, enfermedades cardiovasculares limitantes (angina de pecho, insuficiencia cardiaca, insuficiencia venosa crónica, entre otras), lesiones  articulares con contraindicación para la práctica de actividad física.</w:t>
      </w:r>
    </w:p>
    <w:p w:rsidR="00886359" w:rsidRPr="007D363E" w:rsidRDefault="00F87EF7" w:rsidP="007D363E">
      <w:pPr>
        <w:pStyle w:val="Prrafodelista"/>
        <w:numPr>
          <w:ilvl w:val="0"/>
          <w:numId w:val="23"/>
        </w:numPr>
        <w:spacing w:line="360" w:lineRule="auto"/>
        <w:ind w:left="360"/>
        <w:jc w:val="both"/>
        <w:rPr>
          <w:rFonts w:ascii="Times" w:hAnsi="Times" w:cs="Arial"/>
          <w:sz w:val="24"/>
          <w:szCs w:val="24"/>
        </w:rPr>
      </w:pPr>
      <w:r w:rsidRPr="007D363E">
        <w:rPr>
          <w:rFonts w:ascii="Times" w:hAnsi="Times" w:cs="Arial"/>
          <w:i/>
          <w:sz w:val="24"/>
          <w:szCs w:val="24"/>
          <w:u w:val="single"/>
        </w:rPr>
        <w:t>Criterios éticos:</w:t>
      </w:r>
      <w:r w:rsidRPr="007D363E">
        <w:rPr>
          <w:rFonts w:ascii="Times" w:hAnsi="Times" w:cs="Arial"/>
          <w:sz w:val="24"/>
          <w:szCs w:val="24"/>
        </w:rPr>
        <w:t xml:space="preserve"> de cara a garantizar los deberes y derechos de las partes involucradas en el desarrollo de la investigación (investigadores vs. Unidades de Análisis), será presentado por parte de los investigadores un formato de consentimiento informado donde se muestra el nombre del estudio, sus objetivos, las pruebas a aplicar, el riesgo de los procedimientos empleados, el uso de la información y los compromisos asumidos (informe individual, grupal e insitucional) el cual debe ser aceptado con firma y huella por parte de los pacientes.</w:t>
      </w:r>
    </w:p>
    <w:p w:rsidR="00F45274" w:rsidRPr="007D363E" w:rsidRDefault="00F45274" w:rsidP="00F45274">
      <w:pPr>
        <w:spacing w:line="360" w:lineRule="auto"/>
        <w:jc w:val="both"/>
        <w:rPr>
          <w:rFonts w:ascii="Times" w:hAnsi="Times" w:cs="Arial"/>
          <w:b/>
          <w:sz w:val="24"/>
          <w:szCs w:val="24"/>
          <w:u w:val="single"/>
        </w:rPr>
      </w:pPr>
      <w:r w:rsidRPr="007D363E">
        <w:rPr>
          <w:rFonts w:ascii="Times" w:hAnsi="Times" w:cs="Arial"/>
          <w:b/>
          <w:sz w:val="24"/>
          <w:szCs w:val="24"/>
          <w:u w:val="single"/>
        </w:rPr>
        <w:t>Técnica de muestreo y selección</w:t>
      </w:r>
    </w:p>
    <w:p w:rsidR="00F45274" w:rsidRPr="008F0439" w:rsidRDefault="00F45274" w:rsidP="00F45274">
      <w:pPr>
        <w:spacing w:line="360" w:lineRule="auto"/>
        <w:jc w:val="both"/>
        <w:rPr>
          <w:rFonts w:ascii="Times" w:hAnsi="Times" w:cs="Arial"/>
          <w:sz w:val="24"/>
          <w:szCs w:val="24"/>
        </w:rPr>
      </w:pPr>
      <w:r w:rsidRPr="008F0439">
        <w:rPr>
          <w:rFonts w:ascii="Times" w:hAnsi="Times" w:cs="Arial"/>
          <w:sz w:val="24"/>
          <w:szCs w:val="24"/>
        </w:rPr>
        <w:t>Considerando los criterios de inclusión, exclusión y éticos, se ha obtenidos por parte de los registro del Instituto Distrital de Recreación y Deporte (IDRD) un tamaño universo probab</w:t>
      </w:r>
      <w:r w:rsidR="00E426D5" w:rsidRPr="008F0439">
        <w:rPr>
          <w:rFonts w:ascii="Times" w:hAnsi="Times" w:cs="Arial"/>
          <w:sz w:val="24"/>
          <w:szCs w:val="24"/>
        </w:rPr>
        <w:t>le de 958 unidades de análisis se procede a realizar una estimación muestral acudiendo a la técnica de muestreo aleatorio simple como sigue a continuación:</w:t>
      </w:r>
    </w:p>
    <w:p w:rsidR="00E426D5" w:rsidRPr="008F0439" w:rsidRDefault="001A2680" w:rsidP="00F45274">
      <w:pPr>
        <w:spacing w:line="360" w:lineRule="auto"/>
        <w:jc w:val="both"/>
        <w:rPr>
          <w:rFonts w:ascii="Times" w:hAnsi="Times" w:cs="Arial"/>
          <w:b/>
          <w:i/>
          <w:sz w:val="24"/>
          <w:szCs w:val="24"/>
        </w:rPr>
      </w:pPr>
      <w:r w:rsidRPr="008F0439">
        <w:rPr>
          <w:rFonts w:ascii="Times" w:hAnsi="Times" w:cs="Arial"/>
          <w:b/>
          <w:i/>
          <w:sz w:val="24"/>
          <w:szCs w:val="24"/>
        </w:rPr>
        <w:t>Donde:</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N (probable)= 958</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A= valor promedio de una variable</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SE=  0.015 (error determinado por el equipo investigador)</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V</w:t>
      </w:r>
      <w:r w:rsidRPr="008F0439">
        <w:rPr>
          <w:rFonts w:ascii="Times" w:hAnsi="Times" w:cs="Arial"/>
          <w:sz w:val="24"/>
          <w:szCs w:val="24"/>
          <w:vertAlign w:val="superscript"/>
        </w:rPr>
        <w:t>2</w:t>
      </w:r>
      <w:r w:rsidRPr="008F0439">
        <w:rPr>
          <w:rFonts w:ascii="Times" w:hAnsi="Times" w:cs="Arial"/>
          <w:sz w:val="24"/>
          <w:szCs w:val="24"/>
        </w:rPr>
        <w:t>= S</w:t>
      </w:r>
      <w:r w:rsidRPr="008F0439">
        <w:rPr>
          <w:rFonts w:ascii="Times" w:hAnsi="Times" w:cs="Arial"/>
          <w:sz w:val="24"/>
          <w:szCs w:val="24"/>
          <w:vertAlign w:val="superscript"/>
        </w:rPr>
        <w:t>2</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P= 0.90 (probabilidad de ocurrencia)</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n’= tamaño muestral sin ajustar</w:t>
      </w:r>
    </w:p>
    <w:p w:rsidR="007A06B8"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n= tamaño muestral ajustado</w:t>
      </w:r>
    </w:p>
    <w:p w:rsidR="007A06B8" w:rsidRPr="008F0439" w:rsidRDefault="007A06B8" w:rsidP="00886359">
      <w:pPr>
        <w:spacing w:after="0" w:line="240" w:lineRule="auto"/>
        <w:jc w:val="both"/>
        <w:rPr>
          <w:rFonts w:ascii="Times" w:hAnsi="Times" w:cs="Arial"/>
          <w:b/>
          <w:i/>
          <w:sz w:val="24"/>
          <w:szCs w:val="24"/>
        </w:rPr>
      </w:pPr>
      <w:r w:rsidRPr="008F0439">
        <w:rPr>
          <w:rFonts w:ascii="Times" w:hAnsi="Times" w:cs="Arial"/>
          <w:b/>
          <w:i/>
          <w:sz w:val="24"/>
          <w:szCs w:val="24"/>
        </w:rPr>
        <w:t xml:space="preserve">Se aplica </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S</w:t>
      </w:r>
      <w:r w:rsidRPr="008F0439">
        <w:rPr>
          <w:rFonts w:ascii="Times" w:hAnsi="Times" w:cs="Arial"/>
          <w:sz w:val="24"/>
          <w:szCs w:val="24"/>
          <w:vertAlign w:val="superscript"/>
        </w:rPr>
        <w:t>2</w:t>
      </w:r>
      <w:r w:rsidRPr="008F0439">
        <w:rPr>
          <w:rFonts w:ascii="Times" w:hAnsi="Times" w:cs="Arial"/>
          <w:sz w:val="24"/>
          <w:szCs w:val="24"/>
        </w:rPr>
        <w:t>=p(1-p)= 0.90(1-0.90)= 0.09</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V</w:t>
      </w:r>
      <w:r w:rsidRPr="008F0439">
        <w:rPr>
          <w:rFonts w:ascii="Times" w:hAnsi="Times" w:cs="Arial"/>
          <w:sz w:val="24"/>
          <w:szCs w:val="24"/>
          <w:vertAlign w:val="superscript"/>
        </w:rPr>
        <w:t>2</w:t>
      </w:r>
      <w:r w:rsidRPr="008F0439">
        <w:rPr>
          <w:rFonts w:ascii="Times" w:hAnsi="Times" w:cs="Arial"/>
          <w:sz w:val="24"/>
          <w:szCs w:val="24"/>
        </w:rPr>
        <w:t>=S</w:t>
      </w:r>
      <w:r w:rsidRPr="008F0439">
        <w:rPr>
          <w:rFonts w:ascii="Times" w:hAnsi="Times" w:cs="Arial"/>
          <w:sz w:val="24"/>
          <w:szCs w:val="24"/>
          <w:vertAlign w:val="superscript"/>
        </w:rPr>
        <w:t>2</w:t>
      </w:r>
      <w:r w:rsidRPr="008F0439">
        <w:rPr>
          <w:rFonts w:ascii="Times" w:hAnsi="Times" w:cs="Arial"/>
          <w:sz w:val="24"/>
          <w:szCs w:val="24"/>
        </w:rPr>
        <w:t>= (0.015)</w:t>
      </w:r>
      <w:r w:rsidRPr="008F0439">
        <w:rPr>
          <w:rFonts w:ascii="Times" w:hAnsi="Times" w:cs="Arial"/>
          <w:sz w:val="24"/>
          <w:szCs w:val="24"/>
          <w:vertAlign w:val="superscript"/>
        </w:rPr>
        <w:t>2</w:t>
      </w:r>
      <w:r w:rsidRPr="008F0439">
        <w:rPr>
          <w:rFonts w:ascii="Times" w:hAnsi="Times" w:cs="Arial"/>
          <w:sz w:val="24"/>
          <w:szCs w:val="24"/>
        </w:rPr>
        <w:t>=0.000225</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n’= S</w:t>
      </w:r>
      <w:r w:rsidRPr="008F0439">
        <w:rPr>
          <w:rFonts w:ascii="Times" w:hAnsi="Times" w:cs="Arial"/>
          <w:sz w:val="24"/>
          <w:szCs w:val="24"/>
          <w:vertAlign w:val="superscript"/>
        </w:rPr>
        <w:t>2</w:t>
      </w:r>
      <w:r w:rsidRPr="008F0439">
        <w:rPr>
          <w:rFonts w:ascii="Times" w:hAnsi="Times" w:cs="Arial"/>
          <w:sz w:val="24"/>
          <w:szCs w:val="24"/>
        </w:rPr>
        <w:t>/V</w:t>
      </w:r>
      <w:r w:rsidRPr="008F0439">
        <w:rPr>
          <w:rFonts w:ascii="Times" w:hAnsi="Times" w:cs="Arial"/>
          <w:sz w:val="24"/>
          <w:szCs w:val="24"/>
          <w:vertAlign w:val="superscript"/>
        </w:rPr>
        <w:t>2</w:t>
      </w:r>
      <w:r w:rsidRPr="008F0439">
        <w:rPr>
          <w:rFonts w:ascii="Times" w:hAnsi="Times" w:cs="Arial"/>
          <w:sz w:val="24"/>
          <w:szCs w:val="24"/>
        </w:rPr>
        <w:t>=0.09/0.000225= 400</w:t>
      </w:r>
    </w:p>
    <w:p w:rsidR="001A2680" w:rsidRPr="008F0439" w:rsidRDefault="001A2680" w:rsidP="00886359">
      <w:pPr>
        <w:spacing w:after="0" w:line="240" w:lineRule="auto"/>
        <w:jc w:val="both"/>
        <w:rPr>
          <w:rFonts w:ascii="Times" w:hAnsi="Times" w:cs="Arial"/>
          <w:sz w:val="24"/>
          <w:szCs w:val="24"/>
        </w:rPr>
      </w:pPr>
      <w:r w:rsidRPr="008F0439">
        <w:rPr>
          <w:rFonts w:ascii="Times" w:hAnsi="Times" w:cs="Arial"/>
          <w:sz w:val="24"/>
          <w:szCs w:val="24"/>
        </w:rPr>
        <w:t>n=n’/1+(n’/N)= 400/1+(400/958)=282.18</w:t>
      </w:r>
    </w:p>
    <w:p w:rsidR="007A06B8" w:rsidRPr="008F0439" w:rsidRDefault="007A06B8" w:rsidP="00886359">
      <w:pPr>
        <w:spacing w:after="0" w:line="240" w:lineRule="auto"/>
        <w:jc w:val="both"/>
        <w:rPr>
          <w:rFonts w:ascii="Times" w:hAnsi="Times" w:cs="Arial"/>
          <w:b/>
          <w:i/>
          <w:sz w:val="24"/>
          <w:szCs w:val="24"/>
        </w:rPr>
      </w:pPr>
      <w:r w:rsidRPr="008F0439">
        <w:rPr>
          <w:rFonts w:ascii="Times" w:hAnsi="Times" w:cs="Arial"/>
          <w:b/>
          <w:i/>
          <w:sz w:val="24"/>
          <w:szCs w:val="24"/>
        </w:rPr>
        <w:lastRenderedPageBreak/>
        <w:t>Por tanto tamaño muestral “n”:</w:t>
      </w:r>
    </w:p>
    <w:p w:rsidR="001A2680" w:rsidRPr="008F0439" w:rsidRDefault="00920F1F" w:rsidP="00886359">
      <w:pPr>
        <w:spacing w:after="0" w:line="240" w:lineRule="auto"/>
        <w:jc w:val="both"/>
        <w:rPr>
          <w:rFonts w:ascii="Times" w:hAnsi="Times" w:cs="Arial"/>
          <w:sz w:val="24"/>
          <w:szCs w:val="24"/>
        </w:rPr>
      </w:pPr>
      <w:r w:rsidRPr="008F0439">
        <w:rPr>
          <w:rFonts w:ascii="Times" w:hAnsi="Times" w:cs="Arial"/>
          <w:sz w:val="24"/>
          <w:szCs w:val="24"/>
        </w:rPr>
        <w:t>n=282.18+ 20% (pérdida muestra dad por azar)</w:t>
      </w:r>
      <w:r w:rsidR="001A2680" w:rsidRPr="008F0439">
        <w:rPr>
          <w:rFonts w:ascii="Times" w:hAnsi="Times" w:cs="Arial"/>
          <w:sz w:val="24"/>
          <w:szCs w:val="24"/>
        </w:rPr>
        <w:t xml:space="preserve">= </w:t>
      </w:r>
      <w:r w:rsidR="001A2680" w:rsidRPr="008F0439">
        <w:rPr>
          <w:rFonts w:ascii="Times" w:hAnsi="Times" w:cs="Arial"/>
          <w:b/>
          <w:sz w:val="24"/>
          <w:szCs w:val="24"/>
        </w:rPr>
        <w:t>338.61</w:t>
      </w:r>
    </w:p>
    <w:p w:rsidR="009E3B03" w:rsidRDefault="009E3B03" w:rsidP="00AE6D34">
      <w:pPr>
        <w:spacing w:line="360" w:lineRule="auto"/>
        <w:jc w:val="both"/>
        <w:rPr>
          <w:rFonts w:ascii="Times" w:hAnsi="Times" w:cs="Arial"/>
          <w:sz w:val="24"/>
          <w:szCs w:val="24"/>
        </w:rPr>
      </w:pPr>
    </w:p>
    <w:p w:rsidR="00920F1F" w:rsidRPr="00AE6D34" w:rsidRDefault="007A06B8" w:rsidP="00AE6D34">
      <w:pPr>
        <w:spacing w:line="360" w:lineRule="auto"/>
        <w:jc w:val="both"/>
        <w:rPr>
          <w:rFonts w:ascii="Times" w:hAnsi="Times" w:cs="Arial"/>
          <w:sz w:val="24"/>
          <w:szCs w:val="24"/>
        </w:rPr>
      </w:pPr>
      <w:r w:rsidRPr="008F0439">
        <w:rPr>
          <w:rFonts w:ascii="Times" w:hAnsi="Times" w:cs="Arial"/>
          <w:sz w:val="24"/>
          <w:szCs w:val="24"/>
        </w:rPr>
        <w:t>La técnica de selección será por Tómbola, donde las 958 unidades de anál</w:t>
      </w:r>
      <w:r w:rsidR="0043065F" w:rsidRPr="008F0439">
        <w:rPr>
          <w:rFonts w:ascii="Times" w:hAnsi="Times" w:cs="Arial"/>
          <w:sz w:val="24"/>
          <w:szCs w:val="24"/>
        </w:rPr>
        <w:t>i</w:t>
      </w:r>
      <w:r w:rsidRPr="008F0439">
        <w:rPr>
          <w:rFonts w:ascii="Times" w:hAnsi="Times" w:cs="Arial"/>
          <w:sz w:val="24"/>
          <w:szCs w:val="24"/>
        </w:rPr>
        <w:t>sis será</w:t>
      </w:r>
      <w:r w:rsidR="0043065F" w:rsidRPr="008F0439">
        <w:rPr>
          <w:rFonts w:ascii="Times" w:hAnsi="Times" w:cs="Arial"/>
          <w:sz w:val="24"/>
          <w:szCs w:val="24"/>
        </w:rPr>
        <w:t>n</w:t>
      </w:r>
      <w:r w:rsidRPr="008F0439">
        <w:rPr>
          <w:rFonts w:ascii="Times" w:hAnsi="Times" w:cs="Arial"/>
          <w:sz w:val="24"/>
          <w:szCs w:val="24"/>
        </w:rPr>
        <w:t xml:space="preserve"> codificadas, puestas en un depósito y seleccionadas una a una hasta completar el tamaño n (</w:t>
      </w:r>
      <w:r w:rsidR="00920F1F" w:rsidRPr="008F0439">
        <w:rPr>
          <w:rFonts w:ascii="Times" w:hAnsi="Times" w:cs="Arial"/>
          <w:sz w:val="24"/>
          <w:szCs w:val="24"/>
        </w:rPr>
        <w:t>338).</w:t>
      </w:r>
    </w:p>
    <w:p w:rsidR="00920F1F" w:rsidRPr="007D363E" w:rsidRDefault="00920F1F" w:rsidP="0043065F">
      <w:pPr>
        <w:autoSpaceDE w:val="0"/>
        <w:autoSpaceDN w:val="0"/>
        <w:adjustRightInd w:val="0"/>
        <w:spacing w:after="0" w:line="360" w:lineRule="auto"/>
        <w:jc w:val="both"/>
        <w:rPr>
          <w:rFonts w:ascii="Times" w:hAnsi="Times" w:cs="Arial"/>
          <w:b/>
          <w:sz w:val="24"/>
          <w:szCs w:val="24"/>
          <w:u w:val="single"/>
        </w:rPr>
      </w:pPr>
      <w:r w:rsidRPr="007D363E">
        <w:rPr>
          <w:rFonts w:ascii="Times" w:hAnsi="Times" w:cs="Arial"/>
          <w:b/>
          <w:sz w:val="24"/>
          <w:szCs w:val="24"/>
          <w:u w:val="single"/>
        </w:rPr>
        <w:t>Descripción de los procedimientos:</w:t>
      </w:r>
    </w:p>
    <w:p w:rsidR="00D623B3" w:rsidRPr="008F0439" w:rsidRDefault="00920F1F" w:rsidP="00920F1F">
      <w:pPr>
        <w:spacing w:line="360" w:lineRule="auto"/>
        <w:jc w:val="both"/>
        <w:rPr>
          <w:rFonts w:ascii="Times" w:hAnsi="Times" w:cs="Arial"/>
          <w:sz w:val="24"/>
          <w:szCs w:val="24"/>
        </w:rPr>
      </w:pPr>
      <w:r w:rsidRPr="008F0439">
        <w:rPr>
          <w:rFonts w:ascii="Times" w:hAnsi="Times" w:cs="Arial"/>
          <w:b/>
          <w:sz w:val="24"/>
          <w:szCs w:val="24"/>
        </w:rPr>
        <w:t>El primer  grupo de variables</w:t>
      </w:r>
      <w:r w:rsidRPr="008F0439">
        <w:rPr>
          <w:rFonts w:ascii="Times" w:hAnsi="Times" w:cs="Arial"/>
          <w:sz w:val="24"/>
          <w:szCs w:val="24"/>
        </w:rPr>
        <w:t xml:space="preserve"> son los datos que aporta la valoración cineantropométricas o por Bioimpedancia referidos a la composición corporal, sumatoria de pliegues e índices (IMC, ICC), la masa ósea, </w:t>
      </w:r>
      <w:r w:rsidRPr="008F0439">
        <w:rPr>
          <w:rFonts w:ascii="Times" w:hAnsi="Times" w:cs="Arial"/>
          <w:b/>
          <w:sz w:val="24"/>
          <w:szCs w:val="24"/>
        </w:rPr>
        <w:t>el segundo grupo de variables</w:t>
      </w:r>
      <w:r w:rsidRPr="008F0439">
        <w:rPr>
          <w:rFonts w:ascii="Times" w:hAnsi="Times" w:cs="Arial"/>
          <w:sz w:val="24"/>
          <w:szCs w:val="24"/>
        </w:rPr>
        <w:t xml:space="preserve"> a analizar  son los registros de velocidad, altura y tiempo del acto explosivo, la potencia generada, la estimación de la resistencia a la fuerza rápida, así como la fuerza prensil y la tensión arterial, el </w:t>
      </w:r>
      <w:r w:rsidRPr="008F0439">
        <w:rPr>
          <w:rFonts w:ascii="Times" w:hAnsi="Times" w:cs="Arial"/>
          <w:b/>
          <w:sz w:val="24"/>
          <w:szCs w:val="24"/>
        </w:rPr>
        <w:t>tercer grupo de variables</w:t>
      </w:r>
      <w:r w:rsidRPr="008F0439">
        <w:rPr>
          <w:rFonts w:ascii="Times" w:hAnsi="Times" w:cs="Arial"/>
          <w:sz w:val="24"/>
          <w:szCs w:val="24"/>
        </w:rPr>
        <w:t xml:space="preserve"> son las pruebas de  velocidad agilidad sobre 30 con cambios de velocidad y dirección (Shutle Rin Test), el equilibrio dinámico sobre una línea recta de 6 metros (TandemWalk Test) y el análisis cinemático y dinámico de la marcha sobre 6 metros, y finalmente </w:t>
      </w:r>
      <w:r w:rsidRPr="008F0439">
        <w:rPr>
          <w:rFonts w:ascii="Times" w:hAnsi="Times" w:cs="Arial"/>
          <w:b/>
          <w:sz w:val="24"/>
          <w:szCs w:val="24"/>
        </w:rPr>
        <w:t>el cuarto grupo de variables</w:t>
      </w:r>
      <w:r w:rsidR="00D623B3" w:rsidRPr="008F0439">
        <w:rPr>
          <w:rFonts w:ascii="Times" w:hAnsi="Times" w:cs="Arial"/>
          <w:sz w:val="24"/>
          <w:szCs w:val="24"/>
        </w:rPr>
        <w:t xml:space="preserve"> corresponde</w:t>
      </w:r>
      <w:r w:rsidRPr="008F0439">
        <w:rPr>
          <w:rFonts w:ascii="Times" w:hAnsi="Times" w:cs="Arial"/>
          <w:sz w:val="24"/>
          <w:szCs w:val="24"/>
        </w:rPr>
        <w:t xml:space="preserve"> con un exámen hematológico de laboratorio para controlar niveles de colesterol, trgliceridos, entre otras variables.</w:t>
      </w:r>
    </w:p>
    <w:p w:rsidR="00886359" w:rsidRPr="006C2174" w:rsidRDefault="00D623B3" w:rsidP="00920F1F">
      <w:pPr>
        <w:spacing w:line="360" w:lineRule="auto"/>
        <w:jc w:val="both"/>
        <w:rPr>
          <w:rFonts w:ascii="Times" w:hAnsi="Times" w:cs="Arial"/>
          <w:b/>
          <w:sz w:val="24"/>
          <w:szCs w:val="24"/>
        </w:rPr>
      </w:pPr>
      <w:r w:rsidRPr="006C2174">
        <w:rPr>
          <w:rFonts w:ascii="Times" w:hAnsi="Times" w:cs="Arial"/>
          <w:b/>
          <w:sz w:val="24"/>
          <w:szCs w:val="24"/>
        </w:rPr>
        <w:t>Ampliación a los procedimientos, in</w:t>
      </w:r>
      <w:r w:rsidR="00886359" w:rsidRPr="006C2174">
        <w:rPr>
          <w:rFonts w:ascii="Times" w:hAnsi="Times" w:cs="Arial"/>
          <w:b/>
          <w:sz w:val="24"/>
          <w:szCs w:val="24"/>
        </w:rPr>
        <w:t>s</w:t>
      </w:r>
      <w:r w:rsidRPr="006C2174">
        <w:rPr>
          <w:rFonts w:ascii="Times" w:hAnsi="Times" w:cs="Arial"/>
          <w:b/>
          <w:sz w:val="24"/>
          <w:szCs w:val="24"/>
        </w:rPr>
        <w:t>trumentos o protocolos</w:t>
      </w:r>
    </w:p>
    <w:p w:rsidR="009E3B03" w:rsidRDefault="00920F1F" w:rsidP="009E3B03">
      <w:pPr>
        <w:spacing w:line="360" w:lineRule="auto"/>
        <w:jc w:val="both"/>
        <w:rPr>
          <w:rFonts w:ascii="Times" w:hAnsi="Times" w:cs="Arial"/>
          <w:sz w:val="24"/>
          <w:szCs w:val="24"/>
        </w:rPr>
      </w:pPr>
      <w:r w:rsidRPr="008F0439">
        <w:rPr>
          <w:rFonts w:ascii="Times" w:hAnsi="Times" w:cs="Arial"/>
          <w:i/>
          <w:sz w:val="24"/>
          <w:szCs w:val="24"/>
          <w:u w:val="single"/>
        </w:rPr>
        <w:t>Evaluación del estado de  salud</w:t>
      </w:r>
      <w:r w:rsidR="008B22D7" w:rsidRPr="008F0439">
        <w:rPr>
          <w:rFonts w:ascii="Times" w:hAnsi="Times" w:cs="Arial"/>
          <w:i/>
          <w:sz w:val="24"/>
          <w:szCs w:val="24"/>
          <w:u w:val="single"/>
        </w:rPr>
        <w:t xml:space="preserve">: </w:t>
      </w:r>
      <w:r w:rsidR="008B22D7">
        <w:rPr>
          <w:rFonts w:ascii="Times" w:hAnsi="Times" w:cs="Arial"/>
          <w:sz w:val="24"/>
          <w:szCs w:val="24"/>
        </w:rPr>
        <w:t>se</w:t>
      </w:r>
      <w:r w:rsidRPr="008F0439">
        <w:rPr>
          <w:rFonts w:ascii="Times" w:hAnsi="Times" w:cs="Arial"/>
          <w:sz w:val="24"/>
          <w:szCs w:val="24"/>
        </w:rPr>
        <w:t xml:space="preserve"> utilizarán dos instrumentos para el riesgo </w:t>
      </w:r>
      <w:r w:rsidRPr="008F0439">
        <w:rPr>
          <w:rFonts w:ascii="Times" w:hAnsi="Times" w:cs="Arial"/>
          <w:i/>
          <w:sz w:val="24"/>
          <w:szCs w:val="24"/>
        </w:rPr>
        <w:t>The physical activity readiness questionaire (Par-Q)</w:t>
      </w:r>
      <w:r w:rsidRPr="008F0439">
        <w:rPr>
          <w:rFonts w:ascii="Times" w:hAnsi="Times" w:cs="Arial"/>
          <w:sz w:val="24"/>
          <w:szCs w:val="24"/>
        </w:rPr>
        <w:t xml:space="preserve"> y </w:t>
      </w:r>
      <w:r w:rsidRPr="008F0439">
        <w:rPr>
          <w:rFonts w:ascii="Times" w:hAnsi="Times" w:cs="Arial"/>
          <w:i/>
          <w:sz w:val="24"/>
          <w:szCs w:val="24"/>
        </w:rPr>
        <w:t>The internationa lPhysical activity questionaire (IPAQ).</w:t>
      </w:r>
    </w:p>
    <w:p w:rsidR="00920F1F" w:rsidRPr="009E3B03" w:rsidRDefault="00920F1F" w:rsidP="009E3B03">
      <w:pPr>
        <w:spacing w:line="360" w:lineRule="auto"/>
        <w:jc w:val="both"/>
        <w:rPr>
          <w:rFonts w:ascii="Times" w:hAnsi="Times" w:cs="Arial"/>
          <w:sz w:val="24"/>
          <w:szCs w:val="24"/>
        </w:rPr>
      </w:pPr>
      <w:r w:rsidRPr="008F0439">
        <w:rPr>
          <w:rFonts w:ascii="Times" w:hAnsi="Times" w:cs="Arial"/>
          <w:i/>
          <w:u w:val="single"/>
        </w:rPr>
        <w:t xml:space="preserve">Valoración de la Composición Corporal: </w:t>
      </w:r>
      <w:r w:rsidR="0043065F" w:rsidRPr="008F0439">
        <w:rPr>
          <w:rFonts w:ascii="Times" w:hAnsi="Times" w:cs="Arial"/>
          <w:color w:val="000000"/>
          <w:lang w:val="es-AR"/>
        </w:rPr>
        <w:t>e</w:t>
      </w:r>
      <w:r w:rsidRPr="008F0439">
        <w:rPr>
          <w:rFonts w:ascii="Times" w:hAnsi="Times" w:cs="Arial"/>
          <w:color w:val="000000"/>
          <w:lang w:val="es-AR"/>
        </w:rPr>
        <w:t xml:space="preserve">n la evaluación antropométrica se seguirán las normas e indicaciones establecidas por la Sociedad Internacional para el Avance de la Cineantropometría (ISAK) y el Grupo Español de Cineantropometría(GREC) que han sido consignadas en algunos escritos </w:t>
      </w:r>
      <w:r w:rsidR="00F03D04" w:rsidRPr="008F0439">
        <w:rPr>
          <w:rFonts w:ascii="Times" w:hAnsi="Times" w:cs="Arial"/>
          <w:color w:val="000000"/>
          <w:vertAlign w:val="superscript"/>
          <w:lang w:val="es-AR"/>
        </w:rPr>
        <w:fldChar w:fldCharType="begin"/>
      </w:r>
      <w:r w:rsidRPr="008F0439">
        <w:rPr>
          <w:rFonts w:ascii="Times" w:hAnsi="Times" w:cs="Arial"/>
          <w:color w:val="000000"/>
          <w:vertAlign w:val="superscript"/>
          <w:lang w:val="es-AR"/>
        </w:rPr>
        <w:instrText xml:space="preserve"> ADDIN REFMGR.CITE &lt;Refman&gt;&lt;Cite&gt;&lt;Author&gt;Esparza&lt;/Author&gt;&lt;Year&gt;1993&lt;/Year&gt;&lt;RecNum&gt;14&lt;/RecNum&gt;&lt;IDText&gt;Manual de cineantropometría. Monografías de FEDEME&lt;/IDText&gt;&lt;MDL Ref_Type="Book, Whole"&gt;&lt;Ref_Type&gt;Book, Whole&lt;/Ref_Type&gt;&lt;Ref_ID&gt;14&lt;/Ref_ID&gt;&lt;Title_Primary&gt;&lt;f name="Calibri"&gt;Manual de cineantropometr&amp;#xED;a. Monograf&amp;#xED;as de FEDEME&lt;/f&gt;&lt;/Title_Primary&gt;&lt;Authors_Primary&gt;Esparza,F&lt;/Authors_Primary&gt;&lt;Date_Primary&gt;1993&lt;/Date_Primary&gt;&lt;Reprint&gt;Not in File&lt;/Reprint&gt;&lt;Volume&gt;Primera&lt;/Volume&gt;&lt;Pub_Place&gt;Pamplona (Espa&amp;#xF1;a)&lt;/Pub_Place&gt;&lt;Publisher&gt;FEDEME&lt;/Publisher&gt;&lt;ZZ_WorkformID&gt;2&lt;/ZZ_WorkformID&gt;&lt;/MDL&gt;&lt;/Cite&gt;&lt;/Refman&gt;</w:instrText>
      </w:r>
      <w:r w:rsidR="00F03D04" w:rsidRPr="008F0439">
        <w:rPr>
          <w:rFonts w:ascii="Times" w:hAnsi="Times" w:cs="Arial"/>
          <w:color w:val="000000"/>
          <w:vertAlign w:val="superscript"/>
          <w:lang w:val="es-AR"/>
        </w:rPr>
        <w:fldChar w:fldCharType="separate"/>
      </w:r>
      <w:r w:rsidRPr="008F0439">
        <w:rPr>
          <w:rFonts w:ascii="Times" w:hAnsi="Times" w:cs="Arial"/>
          <w:noProof/>
          <w:color w:val="000000"/>
          <w:vertAlign w:val="superscript"/>
          <w:lang w:val="es-AR"/>
        </w:rPr>
        <w:t>[22]</w:t>
      </w:r>
      <w:r w:rsidR="00F03D04" w:rsidRPr="008F0439">
        <w:rPr>
          <w:rFonts w:ascii="Times" w:hAnsi="Times" w:cs="Arial"/>
          <w:color w:val="000000"/>
          <w:vertAlign w:val="superscript"/>
          <w:lang w:val="es-AR"/>
        </w:rPr>
        <w:fldChar w:fldCharType="end"/>
      </w:r>
      <w:r w:rsidRPr="008F0439">
        <w:rPr>
          <w:rFonts w:ascii="Times" w:hAnsi="Times" w:cs="Arial"/>
          <w:color w:val="000000"/>
          <w:lang w:val="es-AR"/>
        </w:rPr>
        <w:t>. El instrumental empleado será un plicómetro Holtain ®,  una cinta métrica Stanley ®, paquímetro tipo Berfer ®, estadiómetro tipo Faga ®, báscula modelo Tanita ®.</w:t>
      </w:r>
    </w:p>
    <w:p w:rsidR="0043065F" w:rsidRPr="008F0439" w:rsidRDefault="00920F1F" w:rsidP="00920F1F">
      <w:pPr>
        <w:pStyle w:val="Textoindependiente"/>
        <w:rPr>
          <w:rFonts w:ascii="Times" w:hAnsi="Times" w:cs="Arial"/>
          <w:b/>
        </w:rPr>
      </w:pPr>
      <w:r w:rsidRPr="008F0439">
        <w:rPr>
          <w:rFonts w:ascii="Times" w:hAnsi="Times" w:cs="Arial"/>
          <w:i/>
          <w:u w:val="single"/>
        </w:rPr>
        <w:lastRenderedPageBreak/>
        <w:t>Valoración de La Fuerza Explosiva:</w:t>
      </w:r>
      <w:r w:rsidR="0043065F" w:rsidRPr="008F0439">
        <w:rPr>
          <w:rFonts w:ascii="Times" w:hAnsi="Times" w:cs="Arial"/>
        </w:rPr>
        <w:t>p</w:t>
      </w:r>
      <w:r w:rsidRPr="008F0439">
        <w:rPr>
          <w:rFonts w:ascii="Times" w:hAnsi="Times" w:cs="Arial"/>
        </w:rPr>
        <w:t xml:space="preserve">ara la valoración de fuerza explosiva se utilizará un sistema de rayos infrarrojos Opto Gait ®. </w:t>
      </w:r>
      <w:r w:rsidRPr="008F0439">
        <w:rPr>
          <w:rFonts w:ascii="Times" w:hAnsi="Times" w:cs="Arial"/>
          <w:bCs/>
          <w:iCs/>
          <w:color w:val="000000"/>
        </w:rPr>
        <w:t>Los test Empleados pertenec</w:t>
      </w:r>
      <w:r w:rsidR="007D363E">
        <w:rPr>
          <w:rFonts w:ascii="Times" w:hAnsi="Times" w:cs="Arial"/>
          <w:bCs/>
          <w:iCs/>
          <w:color w:val="000000"/>
        </w:rPr>
        <w:t>en a la batería de Bosco (1988).</w:t>
      </w:r>
    </w:p>
    <w:p w:rsidR="00920F1F" w:rsidRPr="008F0439" w:rsidRDefault="00920F1F" w:rsidP="00920F1F">
      <w:pPr>
        <w:spacing w:line="360" w:lineRule="auto"/>
        <w:jc w:val="both"/>
        <w:rPr>
          <w:rFonts w:ascii="Times" w:hAnsi="Times" w:cs="Arial"/>
          <w:b/>
          <w:sz w:val="24"/>
          <w:szCs w:val="24"/>
        </w:rPr>
      </w:pPr>
      <w:r w:rsidRPr="008F0439">
        <w:rPr>
          <w:rFonts w:ascii="Times" w:hAnsi="Times" w:cs="Arial"/>
          <w:i/>
          <w:sz w:val="24"/>
          <w:szCs w:val="24"/>
          <w:u w:val="single"/>
        </w:rPr>
        <w:t>Valoración de la velocidad agilidad (ShutleRun Test):</w:t>
      </w:r>
      <w:r w:rsidR="007D363E">
        <w:rPr>
          <w:rFonts w:ascii="Times" w:hAnsi="Times" w:cs="Arial"/>
          <w:color w:val="000000"/>
          <w:sz w:val="24"/>
          <w:szCs w:val="24"/>
          <w:lang w:val="es-AR"/>
        </w:rPr>
        <w:t xml:space="preserve">se utilizará el </w:t>
      </w:r>
      <w:r w:rsidRPr="008F0439">
        <w:rPr>
          <w:rFonts w:ascii="Times" w:hAnsi="Times" w:cs="Arial"/>
          <w:color w:val="000000"/>
          <w:sz w:val="24"/>
          <w:szCs w:val="24"/>
          <w:lang w:val="es-AR"/>
        </w:rPr>
        <w:t xml:space="preserve"> instrumento validado</w:t>
      </w:r>
      <w:sdt>
        <w:sdtPr>
          <w:rPr>
            <w:rFonts w:ascii="Times" w:hAnsi="Times" w:cs="Arial"/>
            <w:color w:val="000000"/>
            <w:sz w:val="24"/>
            <w:szCs w:val="24"/>
            <w:lang w:val="es-AR"/>
          </w:rPr>
          <w:id w:val="-2097083984"/>
          <w:citation/>
        </w:sdtPr>
        <w:sdtContent>
          <w:r w:rsidR="00F03D04" w:rsidRPr="008F0439">
            <w:rPr>
              <w:rFonts w:ascii="Times" w:hAnsi="Times" w:cs="Arial"/>
              <w:color w:val="000000"/>
              <w:sz w:val="24"/>
              <w:szCs w:val="24"/>
              <w:lang w:val="es-AR"/>
            </w:rPr>
            <w:fldChar w:fldCharType="begin"/>
          </w:r>
          <w:r w:rsidRPr="008F0439">
            <w:rPr>
              <w:rFonts w:ascii="Times" w:hAnsi="Times" w:cs="Arial"/>
              <w:color w:val="000000"/>
              <w:sz w:val="24"/>
              <w:szCs w:val="24"/>
            </w:rPr>
            <w:instrText xml:space="preserve">CITATION Ram06 \l 2058 </w:instrText>
          </w:r>
          <w:r w:rsidR="00F03D04" w:rsidRPr="008F0439">
            <w:rPr>
              <w:rFonts w:ascii="Times" w:hAnsi="Times" w:cs="Arial"/>
              <w:color w:val="000000"/>
              <w:sz w:val="24"/>
              <w:szCs w:val="24"/>
              <w:lang w:val="es-AR"/>
            </w:rPr>
            <w:fldChar w:fldCharType="separate"/>
          </w:r>
          <w:r w:rsidRPr="008F0439">
            <w:rPr>
              <w:rFonts w:ascii="Times" w:hAnsi="Times" w:cs="Arial"/>
              <w:noProof/>
              <w:color w:val="000000"/>
              <w:sz w:val="24"/>
              <w:szCs w:val="24"/>
            </w:rPr>
            <w:t xml:space="preserve"> (Ramírez, Viana, Gómez, Silva, Núñez, &amp; Lancho, 2006)</w:t>
          </w:r>
          <w:r w:rsidR="00F03D04" w:rsidRPr="008F0439">
            <w:rPr>
              <w:rFonts w:ascii="Times" w:hAnsi="Times" w:cs="Arial"/>
              <w:color w:val="000000"/>
              <w:sz w:val="24"/>
              <w:szCs w:val="24"/>
              <w:lang w:val="es-AR"/>
            </w:rPr>
            <w:fldChar w:fldCharType="end"/>
          </w:r>
        </w:sdtContent>
      </w:sdt>
      <w:r w:rsidRPr="008F0439">
        <w:rPr>
          <w:rFonts w:ascii="Times" w:hAnsi="Times" w:cs="Arial"/>
          <w:color w:val="000000"/>
          <w:sz w:val="24"/>
          <w:szCs w:val="24"/>
          <w:lang w:val="es-AR"/>
        </w:rPr>
        <w:t>que consiste en recorrer un trayecto de línea recta de 30 metros</w:t>
      </w:r>
      <w:r w:rsidR="009E3B03">
        <w:rPr>
          <w:rFonts w:ascii="Times" w:hAnsi="Times" w:cs="Arial"/>
          <w:color w:val="000000"/>
          <w:sz w:val="24"/>
          <w:szCs w:val="24"/>
          <w:lang w:val="es-AR"/>
        </w:rPr>
        <w:t xml:space="preserve">. </w:t>
      </w:r>
      <w:r w:rsidRPr="008F0439">
        <w:rPr>
          <w:rFonts w:ascii="Times" w:hAnsi="Times" w:cs="Arial"/>
          <w:color w:val="000000"/>
          <w:sz w:val="24"/>
          <w:szCs w:val="24"/>
          <w:lang w:val="es-AR"/>
        </w:rPr>
        <w:t xml:space="preserve"> Todos los tiempos serán tomados usando dos cronómetros digitales Kronus ®, monitores de ritmo cardiaco marca polar ® y las distancias fueron medidas con una cinta métrica Stanley ®.</w:t>
      </w:r>
    </w:p>
    <w:p w:rsidR="00920F1F" w:rsidRPr="008F0439" w:rsidRDefault="00920F1F" w:rsidP="00920F1F">
      <w:pPr>
        <w:spacing w:line="360" w:lineRule="auto"/>
        <w:jc w:val="both"/>
        <w:rPr>
          <w:rFonts w:ascii="Times" w:hAnsi="Times" w:cs="Arial"/>
          <w:i/>
          <w:sz w:val="24"/>
          <w:szCs w:val="24"/>
          <w:u w:val="single"/>
        </w:rPr>
      </w:pPr>
      <w:r w:rsidRPr="008F0439">
        <w:rPr>
          <w:rFonts w:ascii="Times" w:hAnsi="Times" w:cs="Arial"/>
          <w:i/>
          <w:sz w:val="24"/>
          <w:szCs w:val="24"/>
          <w:u w:val="single"/>
        </w:rPr>
        <w:t>Valoración del equilibrio dinámico (TandemWalk Test)</w:t>
      </w:r>
      <w:r w:rsidR="008B22D7" w:rsidRPr="008F0439">
        <w:rPr>
          <w:rFonts w:ascii="Times" w:hAnsi="Times" w:cs="Arial"/>
          <w:i/>
          <w:sz w:val="24"/>
          <w:szCs w:val="24"/>
          <w:u w:val="single"/>
        </w:rPr>
        <w:t xml:space="preserve">: </w:t>
      </w:r>
      <w:r w:rsidR="008B22D7">
        <w:rPr>
          <w:rFonts w:ascii="Times" w:hAnsi="Times" w:cs="Arial"/>
          <w:color w:val="000000"/>
          <w:sz w:val="24"/>
          <w:szCs w:val="24"/>
        </w:rPr>
        <w:t>se</w:t>
      </w:r>
      <w:r w:rsidR="009E3B03">
        <w:rPr>
          <w:rFonts w:ascii="Times" w:hAnsi="Times" w:cs="Arial"/>
          <w:color w:val="000000"/>
          <w:sz w:val="24"/>
          <w:szCs w:val="24"/>
        </w:rPr>
        <w:t xml:space="preserve"> utilizará l</w:t>
      </w:r>
      <w:r w:rsidRPr="008F0439">
        <w:rPr>
          <w:rFonts w:ascii="Times" w:hAnsi="Times" w:cs="Arial"/>
          <w:color w:val="000000"/>
          <w:sz w:val="24"/>
          <w:szCs w:val="24"/>
          <w:lang w:val="es-AR"/>
        </w:rPr>
        <w:t>a batería validada</w:t>
      </w:r>
      <w:sdt>
        <w:sdtPr>
          <w:rPr>
            <w:rFonts w:ascii="Times" w:hAnsi="Times" w:cs="Arial"/>
            <w:color w:val="000000"/>
            <w:sz w:val="24"/>
            <w:szCs w:val="24"/>
            <w:lang w:val="es-AR"/>
          </w:rPr>
          <w:id w:val="-1795515275"/>
          <w:citation/>
        </w:sdtPr>
        <w:sdtContent>
          <w:r w:rsidR="00F03D04" w:rsidRPr="008F0439">
            <w:rPr>
              <w:rFonts w:ascii="Times" w:hAnsi="Times" w:cs="Arial"/>
              <w:color w:val="000000"/>
              <w:sz w:val="24"/>
              <w:szCs w:val="24"/>
              <w:lang w:val="es-AR"/>
            </w:rPr>
            <w:fldChar w:fldCharType="begin"/>
          </w:r>
          <w:r w:rsidRPr="008F0439">
            <w:rPr>
              <w:rFonts w:ascii="Times" w:hAnsi="Times" w:cs="Arial"/>
              <w:color w:val="000000"/>
              <w:sz w:val="24"/>
              <w:szCs w:val="24"/>
            </w:rPr>
            <w:instrText xml:space="preserve"> CITATION Nel94 \l 2058 </w:instrText>
          </w:r>
          <w:r w:rsidR="00F03D04" w:rsidRPr="008F0439">
            <w:rPr>
              <w:rFonts w:ascii="Times" w:hAnsi="Times" w:cs="Arial"/>
              <w:color w:val="000000"/>
              <w:sz w:val="24"/>
              <w:szCs w:val="24"/>
              <w:lang w:val="es-AR"/>
            </w:rPr>
            <w:fldChar w:fldCharType="separate"/>
          </w:r>
          <w:r w:rsidRPr="008F0439">
            <w:rPr>
              <w:rFonts w:ascii="Times" w:hAnsi="Times" w:cs="Arial"/>
              <w:noProof/>
              <w:color w:val="000000"/>
              <w:sz w:val="24"/>
              <w:szCs w:val="24"/>
            </w:rPr>
            <w:t xml:space="preserve"> (Nelson, Fiatarone, Morganti, Trice, Greenberg, &amp; Evans, 1994)</w:t>
          </w:r>
          <w:r w:rsidR="00F03D04" w:rsidRPr="008F0439">
            <w:rPr>
              <w:rFonts w:ascii="Times" w:hAnsi="Times" w:cs="Arial"/>
              <w:color w:val="000000"/>
              <w:sz w:val="24"/>
              <w:szCs w:val="24"/>
              <w:lang w:val="es-AR"/>
            </w:rPr>
            <w:fldChar w:fldCharType="end"/>
          </w:r>
        </w:sdtContent>
      </w:sdt>
      <w:r w:rsidR="009E3B03">
        <w:rPr>
          <w:rFonts w:ascii="Times" w:hAnsi="Times" w:cs="Arial"/>
          <w:color w:val="000000"/>
          <w:sz w:val="24"/>
          <w:szCs w:val="24"/>
          <w:lang w:val="es-AR"/>
        </w:rPr>
        <w:t>.</w:t>
      </w:r>
    </w:p>
    <w:p w:rsidR="00920F1F" w:rsidRPr="008F0439" w:rsidRDefault="00920F1F" w:rsidP="00920F1F">
      <w:pPr>
        <w:spacing w:line="360" w:lineRule="auto"/>
        <w:jc w:val="both"/>
        <w:rPr>
          <w:rFonts w:ascii="Times" w:hAnsi="Times" w:cs="Arial"/>
          <w:i/>
          <w:sz w:val="24"/>
          <w:szCs w:val="24"/>
          <w:u w:val="single"/>
        </w:rPr>
      </w:pPr>
      <w:r w:rsidRPr="008F0439">
        <w:rPr>
          <w:rFonts w:ascii="Times" w:hAnsi="Times" w:cs="Arial"/>
          <w:i/>
          <w:sz w:val="24"/>
          <w:szCs w:val="24"/>
          <w:u w:val="single"/>
        </w:rPr>
        <w:t xml:space="preserve">Análisis biomecánico de la marcha: </w:t>
      </w:r>
      <w:r w:rsidR="0043065F" w:rsidRPr="008F0439">
        <w:rPr>
          <w:rFonts w:ascii="Times" w:hAnsi="Times" w:cs="Arial"/>
          <w:sz w:val="24"/>
          <w:szCs w:val="24"/>
        </w:rPr>
        <w:t>s</w:t>
      </w:r>
      <w:r w:rsidRPr="008F0439">
        <w:rPr>
          <w:rFonts w:ascii="Times" w:hAnsi="Times" w:cs="Arial"/>
          <w:sz w:val="24"/>
          <w:szCs w:val="24"/>
        </w:rPr>
        <w:t xml:space="preserve">e utilizará el sistema de obtención óptica de datos Optogait RX Microgate ®, </w:t>
      </w:r>
      <w:r w:rsidR="009E3B03">
        <w:rPr>
          <w:rFonts w:ascii="Times" w:hAnsi="Times" w:cs="Arial"/>
          <w:sz w:val="24"/>
          <w:szCs w:val="24"/>
        </w:rPr>
        <w:t xml:space="preserve">el cual </w:t>
      </w:r>
      <w:r w:rsidRPr="008F0439">
        <w:rPr>
          <w:rFonts w:ascii="Times" w:hAnsi="Times" w:cs="Arial"/>
          <w:sz w:val="24"/>
          <w:szCs w:val="24"/>
        </w:rPr>
        <w:t>permite un análisis de medición de alta precisión en los patrones de marcha, tales como: duración del desplazamiento en una distancia determinada, amplitud de zancada, velocidad de cada zancada, posturas y balanceos en la marcha</w:t>
      </w:r>
      <w:r w:rsidR="00F03D04" w:rsidRPr="008F0439">
        <w:rPr>
          <w:rFonts w:ascii="Times" w:hAnsi="Times" w:cs="Arial"/>
          <w:sz w:val="24"/>
          <w:szCs w:val="24"/>
        </w:rPr>
        <w:fldChar w:fldCharType="begin"/>
      </w:r>
      <w:r w:rsidRPr="008F0439">
        <w:rPr>
          <w:rFonts w:ascii="Times" w:hAnsi="Times" w:cs="Arial"/>
          <w:sz w:val="24"/>
          <w:szCs w:val="24"/>
        </w:rPr>
        <w:instrText xml:space="preserve"> ADDIN REFMGR.CITE &lt;Refman&gt;&lt;Cite&gt;&lt;Author&gt;Kressig&lt;/Author&gt;&lt;Year&gt;2006&lt;/Year&gt;&lt;RecNum&gt;16&lt;/RecNum&gt;&lt;IDText&gt;Guidelines for clinical applications of spatio-temporal gait analysis in older adults&lt;/IDText&gt;&lt;MDL Ref_Type="Journal"&gt;&lt;Ref_Type&gt;Journal&lt;/Ref_Type&gt;&lt;Ref_ID&gt;16&lt;/Ref_ID&gt;&lt;Title_Primary&gt;Guidelines for clinical applications of spatio-temporal gait analysis in older adults&lt;/Title_Primary&gt;&lt;Authors_Primary&gt;Kressig,R.W.&lt;/Authors_Primary&gt;&lt;Authors_Primary&gt;Beauchet,O.&lt;/Authors_Primary&gt;&lt;Date_Primary&gt;2006/4&lt;/Date_Primary&gt;&lt;Keywords&gt;Accidental Falls&lt;/Keywords&gt;&lt;Keywords&gt;Adult&lt;/Keywords&gt;&lt;Keywords&gt;Aged&lt;/Keywords&gt;&lt;Keywords&gt;Aged,80 and over&lt;/Keywords&gt;&lt;Keywords&gt;Aging&lt;/Keywords&gt;&lt;Keywords&gt;diagnosis&lt;/Keywords&gt;&lt;Keywords&gt;Environment Design&lt;/Keywords&gt;&lt;Keywords&gt;Europe&lt;/Keywords&gt;&lt;Keywords&gt;Frail Elderly&lt;/Keywords&gt;&lt;Keywords&gt;Gait&lt;/Keywords&gt;&lt;Keywords&gt;Gait Disorders,Neurologic&lt;/Keywords&gt;&lt;Keywords&gt;Geriatric Assessment&lt;/Keywords&gt;&lt;Keywords&gt;Humans&lt;/Keywords&gt;&lt;Keywords&gt;methods&lt;/Keywords&gt;&lt;Keywords&gt;physiology&lt;/Keywords&gt;&lt;Keywords&gt;physiopathology&lt;/Keywords&gt;&lt;Keywords&gt;prevention &amp;amp; control&lt;/Keywords&gt;&lt;Keywords&gt;Rehabilitation&lt;/Keywords&gt;&lt;Keywords&gt;Reproducibility of Results&lt;/Keywords&gt;&lt;Keywords&gt;Walking&lt;/Keywords&gt;&lt;Reprint&gt;Not in File&lt;/Reprint&gt;&lt;Start_Page&gt;174&lt;/Start_Page&gt;&lt;End_Page&gt;176&lt;/End_Page&gt;&lt;Periodical&gt;Aging Clin.Exp.Res.&lt;/Periodical&gt;&lt;Volume&gt;18&lt;/Volume&gt;&lt;Issue&gt;2&lt;/Issue&gt;&lt;Misc_3&gt;1816 [pii]&lt;/Misc_3&gt;&lt;Address&gt;Department of Rehabilitation and Geriatrics, Geneva University Hospitals, Thonex, Switzerland. reto.kressig@hcuge.ch&lt;/Address&gt;&lt;Web_URL&gt;PM:16702791&lt;/Web_URL&gt;&lt;ZZ_JournalFull&gt;&lt;f name="System"&gt;Aging Clin.Exp.Res.&lt;/f&gt;&lt;/ZZ_JournalFull&gt;&lt;ZZ_WorkformID&gt;1&lt;/ZZ_WorkformID&gt;&lt;/MDL&gt;&lt;/Cite&gt;&lt;/Refman&gt;</w:instrText>
      </w:r>
      <w:r w:rsidR="00F03D04" w:rsidRPr="008F0439">
        <w:rPr>
          <w:rFonts w:ascii="Times" w:hAnsi="Times" w:cs="Arial"/>
          <w:sz w:val="24"/>
          <w:szCs w:val="24"/>
        </w:rPr>
        <w:fldChar w:fldCharType="separate"/>
      </w:r>
      <w:r w:rsidRPr="008F0439">
        <w:rPr>
          <w:rFonts w:ascii="Times" w:hAnsi="Times" w:cs="Arial"/>
          <w:noProof/>
          <w:sz w:val="24"/>
          <w:szCs w:val="24"/>
        </w:rPr>
        <w:t>(Kressig &amp; Beauchet, 2006)</w:t>
      </w:r>
      <w:r w:rsidR="00F03D04" w:rsidRPr="008F0439">
        <w:rPr>
          <w:rFonts w:ascii="Times" w:hAnsi="Times" w:cs="Arial"/>
          <w:sz w:val="24"/>
          <w:szCs w:val="24"/>
        </w:rPr>
        <w:fldChar w:fldCharType="end"/>
      </w:r>
      <w:r w:rsidRPr="008F0439">
        <w:rPr>
          <w:rFonts w:ascii="Times" w:hAnsi="Times" w:cs="Arial"/>
          <w:sz w:val="24"/>
          <w:szCs w:val="24"/>
        </w:rPr>
        <w:t xml:space="preserve">. </w:t>
      </w:r>
    </w:p>
    <w:p w:rsidR="00920F1F" w:rsidRPr="009E3B03" w:rsidRDefault="00D623B3" w:rsidP="009E3B03">
      <w:pPr>
        <w:spacing w:line="360" w:lineRule="auto"/>
        <w:jc w:val="both"/>
        <w:rPr>
          <w:rFonts w:ascii="Times" w:hAnsi="Times" w:cs="Arial"/>
          <w:b/>
          <w:sz w:val="24"/>
          <w:szCs w:val="24"/>
        </w:rPr>
      </w:pPr>
      <w:r w:rsidRPr="008F0439">
        <w:rPr>
          <w:rFonts w:ascii="Times" w:hAnsi="Times" w:cs="Arial"/>
          <w:sz w:val="24"/>
          <w:szCs w:val="24"/>
          <w:u w:val="single"/>
        </w:rPr>
        <w:t>Prueba hematológica de laborato</w:t>
      </w:r>
      <w:r w:rsidRPr="00886359">
        <w:rPr>
          <w:rFonts w:ascii="Times" w:hAnsi="Times" w:cs="Arial"/>
          <w:sz w:val="24"/>
          <w:szCs w:val="24"/>
          <w:u w:val="single"/>
        </w:rPr>
        <w:t>rio:</w:t>
      </w:r>
      <w:r w:rsidR="0043065F" w:rsidRPr="00886359">
        <w:rPr>
          <w:rFonts w:ascii="Times" w:hAnsi="Times" w:cs="Arial"/>
          <w:sz w:val="24"/>
          <w:szCs w:val="24"/>
          <w:lang w:val="es-ES"/>
        </w:rPr>
        <w:t>p</w:t>
      </w:r>
      <w:r w:rsidRPr="00886359">
        <w:rPr>
          <w:rFonts w:ascii="Times" w:hAnsi="Times" w:cs="Arial"/>
          <w:sz w:val="24"/>
          <w:szCs w:val="24"/>
          <w:lang w:val="es-ES"/>
        </w:rPr>
        <w:t>ara el análisis de riesgo cardiova</w:t>
      </w:r>
      <w:r w:rsidR="000E3944" w:rsidRPr="00886359">
        <w:rPr>
          <w:rFonts w:ascii="Times" w:hAnsi="Times" w:cs="Arial"/>
          <w:sz w:val="24"/>
          <w:szCs w:val="24"/>
          <w:lang w:val="es-ES"/>
        </w:rPr>
        <w:t>scular es necesario obtener un e</w:t>
      </w:r>
      <w:r w:rsidRPr="00886359">
        <w:rPr>
          <w:rFonts w:ascii="Times" w:hAnsi="Times" w:cs="Arial"/>
          <w:sz w:val="24"/>
          <w:szCs w:val="24"/>
          <w:lang w:val="es-ES"/>
        </w:rPr>
        <w:t>studio de dislipemia que incluya colesterol total, HDL-c, LDL-c, triglicéridos, VLDL y lípidos totales, lo cuales son parte de los procedimientos estandarizados de los laboratorios, y se obtendrán por requerimiento especial.</w:t>
      </w:r>
    </w:p>
    <w:p w:rsidR="00886359" w:rsidRPr="007D363E" w:rsidRDefault="00F02A9C" w:rsidP="00886359">
      <w:pPr>
        <w:spacing w:line="360" w:lineRule="auto"/>
        <w:jc w:val="both"/>
        <w:rPr>
          <w:rFonts w:ascii="Times" w:hAnsi="Times" w:cs="Arial"/>
          <w:b/>
          <w:sz w:val="24"/>
          <w:szCs w:val="24"/>
          <w:u w:val="single"/>
        </w:rPr>
      </w:pPr>
      <w:r w:rsidRPr="007D363E">
        <w:rPr>
          <w:rFonts w:ascii="Times" w:hAnsi="Times" w:cs="Arial"/>
          <w:b/>
          <w:sz w:val="24"/>
          <w:szCs w:val="24"/>
          <w:u w:val="single"/>
        </w:rPr>
        <w:t>Modelo de análisis estadístico propuesto:</w:t>
      </w:r>
    </w:p>
    <w:p w:rsidR="00F02A9C" w:rsidRPr="00886359" w:rsidRDefault="00F02A9C" w:rsidP="00886359">
      <w:pPr>
        <w:spacing w:line="360" w:lineRule="auto"/>
        <w:jc w:val="both"/>
        <w:rPr>
          <w:rFonts w:ascii="Times" w:hAnsi="Times" w:cs="Arial"/>
          <w:b/>
          <w:sz w:val="24"/>
          <w:szCs w:val="24"/>
        </w:rPr>
      </w:pPr>
      <w:r w:rsidRPr="008F0439">
        <w:rPr>
          <w:rFonts w:ascii="Times" w:hAnsi="Times" w:cs="Arial"/>
          <w:color w:val="000000"/>
          <w:sz w:val="24"/>
          <w:szCs w:val="24"/>
          <w:lang w:val="es-AR"/>
        </w:rPr>
        <w:t xml:space="preserve">En todas las variables será </w:t>
      </w:r>
      <w:r w:rsidR="008B22D7" w:rsidRPr="008F0439">
        <w:rPr>
          <w:rFonts w:ascii="Times" w:hAnsi="Times" w:cs="Arial"/>
          <w:color w:val="000000"/>
          <w:sz w:val="24"/>
          <w:szCs w:val="24"/>
          <w:lang w:val="es-AR"/>
        </w:rPr>
        <w:t>aplicado</w:t>
      </w:r>
      <w:r w:rsidRPr="008F0439">
        <w:rPr>
          <w:rFonts w:ascii="Times" w:hAnsi="Times" w:cs="Arial"/>
          <w:color w:val="000000"/>
          <w:sz w:val="24"/>
          <w:szCs w:val="24"/>
          <w:lang w:val="es-AR"/>
        </w:rPr>
        <w:t xml:space="preserve"> la prueba de bondad o ajuste de normalidad a través de las pruebas de Kolmogorov- Smirnov, ShapiroWilk y distribución gráfica con curva de normalidad. Se establecerán niveles de diferenciación del 5% con un intervalo de confianza del 95%, y se considerarán estadísticamente significativos los valores de p&lt;0.05.</w:t>
      </w:r>
    </w:p>
    <w:p w:rsidR="009E3B03" w:rsidRDefault="00F02A9C" w:rsidP="00F02A9C">
      <w:pPr>
        <w:autoSpaceDE w:val="0"/>
        <w:autoSpaceDN w:val="0"/>
        <w:adjustRightInd w:val="0"/>
        <w:spacing w:line="360" w:lineRule="auto"/>
        <w:jc w:val="both"/>
        <w:rPr>
          <w:rFonts w:ascii="Times" w:hAnsi="Times" w:cs="Arial"/>
          <w:color w:val="000000"/>
          <w:sz w:val="24"/>
          <w:szCs w:val="24"/>
          <w:lang w:val="es-AR"/>
        </w:rPr>
      </w:pPr>
      <w:r w:rsidRPr="008F0439">
        <w:rPr>
          <w:rFonts w:ascii="Times" w:hAnsi="Times" w:cs="Arial"/>
          <w:color w:val="000000"/>
          <w:sz w:val="24"/>
          <w:szCs w:val="24"/>
          <w:lang w:val="es-AR"/>
        </w:rPr>
        <w:t>Atendiendo a las condiciones de tamaño muestral, homogeneidad y homocedasticidad, serán aplicadas pruebas paramétricas o no paramétricas para establecer tabla de decriptivos, tabla de percentiles, índices ponderales y regresión estadísitca por conju</w:t>
      </w:r>
      <w:r w:rsidR="009E3B03">
        <w:rPr>
          <w:rFonts w:ascii="Times" w:hAnsi="Times" w:cs="Arial"/>
          <w:color w:val="000000"/>
          <w:sz w:val="24"/>
          <w:szCs w:val="24"/>
          <w:lang w:val="es-AR"/>
        </w:rPr>
        <w:t>ntos de variables, entre otros.</w:t>
      </w:r>
    </w:p>
    <w:p w:rsidR="00F02A9C" w:rsidRPr="008F0439" w:rsidRDefault="00F02A9C" w:rsidP="00F02A9C">
      <w:pPr>
        <w:autoSpaceDE w:val="0"/>
        <w:autoSpaceDN w:val="0"/>
        <w:adjustRightInd w:val="0"/>
        <w:spacing w:line="360" w:lineRule="auto"/>
        <w:jc w:val="both"/>
        <w:rPr>
          <w:rFonts w:ascii="Times" w:hAnsi="Times" w:cs="Arial"/>
          <w:color w:val="000000"/>
          <w:sz w:val="24"/>
          <w:szCs w:val="24"/>
          <w:lang w:val="es-AR"/>
        </w:rPr>
      </w:pPr>
      <w:r w:rsidRPr="008F0439">
        <w:rPr>
          <w:rFonts w:ascii="Times" w:hAnsi="Times" w:cs="Arial"/>
          <w:color w:val="000000"/>
          <w:sz w:val="24"/>
          <w:szCs w:val="24"/>
          <w:lang w:val="es-AR"/>
        </w:rPr>
        <w:lastRenderedPageBreak/>
        <w:t>Para cumplir con éstos objetivos se sugiere emplear el programa informático SPSS versión 19 ® para el análisis estadístico y el paquete Microsoft Office para la redacción, la base de datos, el diseño de tablas y gráficos, y el paquete Ednote 10 para el tratamiento de los antecedentes.</w:t>
      </w:r>
    </w:p>
    <w:p w:rsidR="00D660EF" w:rsidRPr="00886359" w:rsidRDefault="00D660EF" w:rsidP="00D660EF">
      <w:pPr>
        <w:pStyle w:val="Prrafodelista"/>
        <w:numPr>
          <w:ilvl w:val="0"/>
          <w:numId w:val="18"/>
        </w:numPr>
        <w:suppressAutoHyphens/>
        <w:autoSpaceDN w:val="0"/>
        <w:spacing w:after="0" w:line="360" w:lineRule="auto"/>
        <w:jc w:val="both"/>
        <w:textAlignment w:val="baseline"/>
        <w:rPr>
          <w:rFonts w:ascii="Times" w:hAnsi="Times"/>
          <w:b/>
          <w:sz w:val="24"/>
          <w:szCs w:val="24"/>
          <w:u w:val="single"/>
        </w:rPr>
      </w:pPr>
      <w:r w:rsidRPr="00AE6D34">
        <w:rPr>
          <w:rFonts w:ascii="Times" w:hAnsi="Times"/>
          <w:b/>
          <w:sz w:val="24"/>
          <w:szCs w:val="24"/>
          <w:u w:val="single"/>
        </w:rPr>
        <w:t>Resultados e impactos esperados : al final el proceso se aspira a:</w:t>
      </w:r>
    </w:p>
    <w:p w:rsidR="00D660EF" w:rsidRDefault="00D660EF" w:rsidP="00D660EF">
      <w:pPr>
        <w:pStyle w:val="Prrafodelista"/>
        <w:numPr>
          <w:ilvl w:val="0"/>
          <w:numId w:val="19"/>
        </w:numPr>
        <w:suppressAutoHyphens/>
        <w:autoSpaceDN w:val="0"/>
        <w:spacing w:after="0" w:line="360" w:lineRule="auto"/>
        <w:jc w:val="both"/>
        <w:textAlignment w:val="baseline"/>
        <w:rPr>
          <w:rFonts w:ascii="Times" w:hAnsi="Times"/>
          <w:sz w:val="24"/>
          <w:szCs w:val="24"/>
        </w:rPr>
      </w:pPr>
      <w:r>
        <w:rPr>
          <w:rFonts w:ascii="Times" w:hAnsi="Times"/>
          <w:sz w:val="24"/>
          <w:szCs w:val="24"/>
        </w:rPr>
        <w:t>Valorar 339 adultos mayores participantes de programa recreodeportivo liderado por el Instituto Distrital de Recreación y Deporte (IDRD)</w:t>
      </w:r>
      <w:r w:rsidR="001339D2">
        <w:rPr>
          <w:rFonts w:ascii="Times" w:hAnsi="Times"/>
          <w:sz w:val="24"/>
          <w:szCs w:val="24"/>
        </w:rPr>
        <w:t>.</w:t>
      </w:r>
    </w:p>
    <w:p w:rsidR="001339D2" w:rsidRDefault="001339D2" w:rsidP="00D660EF">
      <w:pPr>
        <w:pStyle w:val="Prrafodelista"/>
        <w:numPr>
          <w:ilvl w:val="0"/>
          <w:numId w:val="19"/>
        </w:numPr>
        <w:suppressAutoHyphens/>
        <w:autoSpaceDN w:val="0"/>
        <w:spacing w:after="0" w:line="360" w:lineRule="auto"/>
        <w:jc w:val="both"/>
        <w:textAlignment w:val="baseline"/>
        <w:rPr>
          <w:rFonts w:ascii="Times" w:hAnsi="Times"/>
          <w:sz w:val="24"/>
          <w:szCs w:val="24"/>
        </w:rPr>
      </w:pPr>
      <w:r>
        <w:rPr>
          <w:rFonts w:ascii="Times" w:hAnsi="Times"/>
          <w:sz w:val="24"/>
          <w:szCs w:val="24"/>
        </w:rPr>
        <w:t>Tener un análisis estadístico detallado que permita retroalimentar el programa distrital.</w:t>
      </w:r>
    </w:p>
    <w:p w:rsidR="001339D2" w:rsidRDefault="001339D2" w:rsidP="00D660EF">
      <w:pPr>
        <w:pStyle w:val="Prrafodelista"/>
        <w:numPr>
          <w:ilvl w:val="0"/>
          <w:numId w:val="19"/>
        </w:numPr>
        <w:suppressAutoHyphens/>
        <w:autoSpaceDN w:val="0"/>
        <w:spacing w:after="0" w:line="360" w:lineRule="auto"/>
        <w:jc w:val="both"/>
        <w:textAlignment w:val="baseline"/>
        <w:rPr>
          <w:rFonts w:ascii="Times" w:hAnsi="Times"/>
          <w:sz w:val="24"/>
          <w:szCs w:val="24"/>
        </w:rPr>
      </w:pPr>
      <w:r>
        <w:rPr>
          <w:rFonts w:ascii="Times" w:hAnsi="Times"/>
          <w:sz w:val="24"/>
          <w:szCs w:val="24"/>
        </w:rPr>
        <w:t>Sugerir elementos nuevos dentro de las políticas de atención sanitaria orientada a poblaciones especiales.</w:t>
      </w:r>
    </w:p>
    <w:p w:rsidR="001339D2" w:rsidRDefault="001339D2" w:rsidP="00D660EF">
      <w:pPr>
        <w:pStyle w:val="Prrafodelista"/>
        <w:numPr>
          <w:ilvl w:val="0"/>
          <w:numId w:val="19"/>
        </w:numPr>
        <w:suppressAutoHyphens/>
        <w:autoSpaceDN w:val="0"/>
        <w:spacing w:after="0" w:line="360" w:lineRule="auto"/>
        <w:jc w:val="both"/>
        <w:textAlignment w:val="baseline"/>
        <w:rPr>
          <w:rFonts w:ascii="Times" w:hAnsi="Times"/>
          <w:sz w:val="24"/>
          <w:szCs w:val="24"/>
        </w:rPr>
      </w:pPr>
      <w:r>
        <w:rPr>
          <w:rFonts w:ascii="Times" w:hAnsi="Times"/>
          <w:sz w:val="24"/>
          <w:szCs w:val="24"/>
        </w:rPr>
        <w:t>Identificar de manera precisa niveles de salud enfermedad con el uso de baremos actualizados y proyectados.</w:t>
      </w:r>
    </w:p>
    <w:p w:rsidR="0043065F" w:rsidRPr="00AE6D34" w:rsidRDefault="00D660EF" w:rsidP="00574C09">
      <w:pPr>
        <w:pStyle w:val="Prrafodelista"/>
        <w:widowControl w:val="0"/>
        <w:numPr>
          <w:ilvl w:val="0"/>
          <w:numId w:val="18"/>
        </w:numPr>
        <w:suppressAutoHyphens/>
        <w:autoSpaceDN w:val="0"/>
        <w:spacing w:after="0" w:line="360" w:lineRule="auto"/>
        <w:jc w:val="both"/>
        <w:textAlignment w:val="baseline"/>
        <w:rPr>
          <w:rFonts w:ascii="Times" w:hAnsi="Times" w:cs="Arial"/>
          <w:b/>
          <w:color w:val="000000"/>
          <w:sz w:val="24"/>
          <w:szCs w:val="24"/>
          <w:u w:val="single"/>
          <w:lang w:val="es-CO"/>
        </w:rPr>
      </w:pPr>
      <w:r w:rsidRPr="00AE6D34">
        <w:rPr>
          <w:rFonts w:ascii="Times" w:hAnsi="Times"/>
          <w:b/>
          <w:sz w:val="24"/>
          <w:szCs w:val="24"/>
          <w:u w:val="single"/>
          <w:lang w:val="es-CO"/>
        </w:rPr>
        <w:t xml:space="preserve">Productos esperados (según asignación presupuestal) y plan de generación de productos: </w:t>
      </w:r>
    </w:p>
    <w:p w:rsidR="001339D2" w:rsidRPr="0048279A" w:rsidRDefault="0048279A" w:rsidP="001339D2">
      <w:pPr>
        <w:pStyle w:val="Prrafodelista"/>
        <w:widowControl w:val="0"/>
        <w:numPr>
          <w:ilvl w:val="0"/>
          <w:numId w:val="20"/>
        </w:numPr>
        <w:suppressAutoHyphens/>
        <w:autoSpaceDN w:val="0"/>
        <w:spacing w:after="0" w:line="360" w:lineRule="auto"/>
        <w:jc w:val="both"/>
        <w:textAlignment w:val="baseline"/>
        <w:rPr>
          <w:rFonts w:ascii="Times" w:hAnsi="Times" w:cs="Arial"/>
          <w:b/>
          <w:color w:val="000000"/>
          <w:sz w:val="24"/>
          <w:szCs w:val="24"/>
          <w:u w:val="single"/>
          <w:lang w:val="es-CO"/>
        </w:rPr>
      </w:pPr>
      <w:r>
        <w:rPr>
          <w:rFonts w:ascii="Times" w:hAnsi="Times" w:cs="Arial"/>
          <w:color w:val="000000"/>
          <w:sz w:val="24"/>
          <w:szCs w:val="24"/>
          <w:lang w:val="es-CO"/>
        </w:rPr>
        <w:t>Dos artículos originales Q4: con carta de presentación, aceptación o publicación con el informe a los seis meses.</w:t>
      </w:r>
    </w:p>
    <w:p w:rsidR="0048279A" w:rsidRPr="0048279A" w:rsidRDefault="0048279A" w:rsidP="0048279A">
      <w:pPr>
        <w:pStyle w:val="Prrafodelista"/>
        <w:widowControl w:val="0"/>
        <w:numPr>
          <w:ilvl w:val="0"/>
          <w:numId w:val="20"/>
        </w:numPr>
        <w:suppressAutoHyphens/>
        <w:autoSpaceDN w:val="0"/>
        <w:spacing w:after="0" w:line="360" w:lineRule="auto"/>
        <w:jc w:val="both"/>
        <w:textAlignment w:val="baseline"/>
        <w:rPr>
          <w:rFonts w:ascii="Times" w:hAnsi="Times" w:cs="Arial"/>
          <w:b/>
          <w:color w:val="000000"/>
          <w:sz w:val="24"/>
          <w:szCs w:val="24"/>
          <w:u w:val="single"/>
          <w:lang w:val="es-CO"/>
        </w:rPr>
      </w:pPr>
      <w:r>
        <w:rPr>
          <w:rFonts w:ascii="Times" w:hAnsi="Times" w:cs="Arial"/>
          <w:color w:val="000000"/>
          <w:sz w:val="24"/>
          <w:szCs w:val="24"/>
          <w:lang w:val="es-CO"/>
        </w:rPr>
        <w:t>Un artículo original Q3: con carta de presentación, aceptación o publicación con el informe final a los nueve meses.</w:t>
      </w:r>
    </w:p>
    <w:p w:rsidR="0048279A" w:rsidRPr="0048279A" w:rsidRDefault="0048279A" w:rsidP="001339D2">
      <w:pPr>
        <w:pStyle w:val="Prrafodelista"/>
        <w:widowControl w:val="0"/>
        <w:numPr>
          <w:ilvl w:val="0"/>
          <w:numId w:val="20"/>
        </w:numPr>
        <w:suppressAutoHyphens/>
        <w:autoSpaceDN w:val="0"/>
        <w:spacing w:after="0" w:line="360" w:lineRule="auto"/>
        <w:jc w:val="both"/>
        <w:textAlignment w:val="baseline"/>
        <w:rPr>
          <w:rFonts w:ascii="Times" w:hAnsi="Times" w:cs="Arial"/>
          <w:b/>
          <w:color w:val="000000"/>
          <w:sz w:val="24"/>
          <w:szCs w:val="24"/>
          <w:u w:val="single"/>
          <w:lang w:val="es-CO"/>
        </w:rPr>
      </w:pPr>
      <w:r>
        <w:rPr>
          <w:rFonts w:ascii="Times" w:hAnsi="Times" w:cs="Arial"/>
          <w:color w:val="000000"/>
          <w:sz w:val="24"/>
          <w:szCs w:val="24"/>
          <w:lang w:val="es-CO"/>
        </w:rPr>
        <w:t>Dos congresos internacionales (2 póster, dos abstracts): evidencias presentadas con el informe final y con un periodo sugerido de hasta seis meses máximo una vez concluya el proceso.</w:t>
      </w:r>
    </w:p>
    <w:p w:rsidR="00AE6D34" w:rsidRPr="00AE6D34" w:rsidRDefault="0048279A" w:rsidP="001339D2">
      <w:pPr>
        <w:pStyle w:val="Prrafodelista"/>
        <w:widowControl w:val="0"/>
        <w:numPr>
          <w:ilvl w:val="0"/>
          <w:numId w:val="20"/>
        </w:numPr>
        <w:suppressAutoHyphens/>
        <w:autoSpaceDN w:val="0"/>
        <w:spacing w:after="0" w:line="360" w:lineRule="auto"/>
        <w:jc w:val="both"/>
        <w:textAlignment w:val="baseline"/>
        <w:rPr>
          <w:rFonts w:ascii="Times" w:hAnsi="Times" w:cs="Arial"/>
          <w:b/>
          <w:color w:val="000000"/>
          <w:sz w:val="24"/>
          <w:szCs w:val="24"/>
          <w:u w:val="single"/>
          <w:lang w:val="es-CO"/>
        </w:rPr>
      </w:pPr>
      <w:r>
        <w:rPr>
          <w:rFonts w:ascii="Times" w:hAnsi="Times" w:cs="Arial"/>
          <w:color w:val="000000"/>
          <w:sz w:val="24"/>
          <w:szCs w:val="24"/>
          <w:lang w:val="es-CO"/>
        </w:rPr>
        <w:t>Un congreso nacional (2 póster, 2 abstracts): evidencias presentadas con el informe final</w:t>
      </w:r>
      <w:r w:rsidR="00AE6D34">
        <w:rPr>
          <w:rFonts w:ascii="Times" w:hAnsi="Times" w:cs="Arial"/>
          <w:color w:val="000000"/>
          <w:sz w:val="24"/>
          <w:szCs w:val="24"/>
          <w:lang w:val="es-CO"/>
        </w:rPr>
        <w:t>.</w:t>
      </w:r>
    </w:p>
    <w:p w:rsidR="0043065F" w:rsidRPr="00886359" w:rsidRDefault="00AE6D34" w:rsidP="007D363E">
      <w:pPr>
        <w:widowControl w:val="0"/>
        <w:rPr>
          <w:rFonts w:ascii="Times" w:hAnsi="Times" w:cs="Arial"/>
          <w:b/>
          <w:color w:val="000000"/>
          <w:sz w:val="24"/>
          <w:szCs w:val="24"/>
          <w:lang w:val="es-ES_tradnl"/>
        </w:rPr>
      </w:pPr>
      <w:r>
        <w:rPr>
          <w:rFonts w:ascii="Times" w:hAnsi="Times" w:cs="Arial"/>
          <w:b/>
          <w:color w:val="000000"/>
          <w:sz w:val="24"/>
          <w:szCs w:val="24"/>
          <w:lang w:val="es-CO"/>
        </w:rPr>
        <w:t>10</w:t>
      </w:r>
      <w:r w:rsidR="009A5EF9" w:rsidRPr="009A5EF9">
        <w:rPr>
          <w:rFonts w:ascii="Times" w:hAnsi="Times" w:cs="Arial"/>
          <w:b/>
          <w:color w:val="000000"/>
          <w:sz w:val="24"/>
          <w:szCs w:val="24"/>
          <w:lang w:val="es-CO"/>
        </w:rPr>
        <w:t xml:space="preserve">. </w:t>
      </w:r>
      <w:r w:rsidR="00574C09" w:rsidRPr="009A5EF9">
        <w:rPr>
          <w:rFonts w:ascii="Times" w:hAnsi="Times" w:cs="Arial"/>
          <w:b/>
          <w:color w:val="000000"/>
          <w:sz w:val="28"/>
          <w:szCs w:val="24"/>
          <w:u w:val="single"/>
          <w:lang w:val="es-CO"/>
        </w:rPr>
        <w:t>Cronograma general</w:t>
      </w:r>
    </w:p>
    <w:p w:rsidR="00574C09" w:rsidRPr="007D363E" w:rsidRDefault="00574C09" w:rsidP="009E3B03">
      <w:pPr>
        <w:pStyle w:val="Sinespaciado"/>
        <w:numPr>
          <w:ilvl w:val="0"/>
          <w:numId w:val="22"/>
        </w:numPr>
        <w:spacing w:line="276" w:lineRule="auto"/>
        <w:jc w:val="both"/>
      </w:pPr>
      <w:r w:rsidRPr="008F0439">
        <w:t>Etapa 1 selección de la muestra (SM): constará de la aplicación de la encuesta y las consideraciones médico - deportivas del caso, cuya información permitirá seleccionar el tamaño muestral.</w:t>
      </w:r>
      <w:r w:rsidR="005D0EDE" w:rsidRPr="007D363E">
        <w:t>Tiempo estimado: 2</w:t>
      </w:r>
      <w:r w:rsidRPr="007D363E">
        <w:t xml:space="preserve">  mes</w:t>
      </w:r>
      <w:r w:rsidR="005D0EDE" w:rsidRPr="007D363E">
        <w:t>es</w:t>
      </w:r>
      <w:r w:rsidRPr="007D363E">
        <w:t xml:space="preserve"> (enero y febrero).</w:t>
      </w:r>
    </w:p>
    <w:p w:rsidR="00574C09" w:rsidRPr="007D363E" w:rsidRDefault="00574C09" w:rsidP="009E3B03">
      <w:pPr>
        <w:pStyle w:val="Sinespaciado"/>
        <w:numPr>
          <w:ilvl w:val="0"/>
          <w:numId w:val="22"/>
        </w:numPr>
        <w:spacing w:line="276" w:lineRule="auto"/>
        <w:jc w:val="both"/>
      </w:pPr>
      <w:r w:rsidRPr="008F0439">
        <w:t xml:space="preserve">Etapa 2 </w:t>
      </w:r>
      <w:r w:rsidR="005D0EDE" w:rsidRPr="008F0439">
        <w:t xml:space="preserve">trabajo de campo: </w:t>
      </w:r>
      <w:r w:rsidRPr="008F0439">
        <w:t xml:space="preserve">control de variables morfológicas, </w:t>
      </w:r>
      <w:r w:rsidR="005D0EDE" w:rsidRPr="008F0439">
        <w:t>de fuerza, de capacidad funcional y de sangre</w:t>
      </w:r>
      <w:r w:rsidRPr="008F0439">
        <w:t xml:space="preserve">  (pre-test) (PT1): </w:t>
      </w:r>
      <w:r w:rsidRPr="007D363E">
        <w:t xml:space="preserve">Aplicación de los protocolos </w:t>
      </w:r>
      <w:r w:rsidR="007D363E">
        <w:t>.</w:t>
      </w:r>
      <w:r w:rsidR="005D0EDE" w:rsidRPr="007D363E">
        <w:t>Tiempo estipulado: 4 meses (de marzo a junio)</w:t>
      </w:r>
      <w:r w:rsidRPr="007D363E">
        <w:t>.</w:t>
      </w:r>
    </w:p>
    <w:p w:rsidR="00574C09" w:rsidRPr="008F0439" w:rsidRDefault="00574C09" w:rsidP="009E3B03">
      <w:pPr>
        <w:pStyle w:val="Sinespaciado"/>
        <w:numPr>
          <w:ilvl w:val="0"/>
          <w:numId w:val="22"/>
        </w:numPr>
        <w:spacing w:line="276" w:lineRule="auto"/>
        <w:jc w:val="both"/>
      </w:pPr>
      <w:r w:rsidRPr="008F0439">
        <w:lastRenderedPageBreak/>
        <w:t>Etapa 3 análisis estadístico (AE): espacio orientado a la organización de la base de datos y las pruebas estadísticas descriptivas e inferenciales solicitadas por el estudio.</w:t>
      </w:r>
    </w:p>
    <w:p w:rsidR="00574C09" w:rsidRPr="008F0439" w:rsidRDefault="00574C09" w:rsidP="009E3B03">
      <w:pPr>
        <w:pStyle w:val="Sinespaciado"/>
        <w:numPr>
          <w:ilvl w:val="0"/>
          <w:numId w:val="22"/>
        </w:numPr>
        <w:spacing w:line="276" w:lineRule="auto"/>
        <w:jc w:val="both"/>
      </w:pPr>
      <w:r w:rsidRPr="008F0439">
        <w:t xml:space="preserve">Tiempo estimado: </w:t>
      </w:r>
      <w:r w:rsidR="005D0EDE" w:rsidRPr="008F0439">
        <w:t>30 días (julio</w:t>
      </w:r>
      <w:r w:rsidRPr="008F0439">
        <w:t>).</w:t>
      </w:r>
    </w:p>
    <w:p w:rsidR="00574C09" w:rsidRPr="008F0439" w:rsidRDefault="005D0EDE" w:rsidP="009E3B03">
      <w:pPr>
        <w:pStyle w:val="Sinespaciado"/>
        <w:numPr>
          <w:ilvl w:val="0"/>
          <w:numId w:val="22"/>
        </w:numPr>
        <w:spacing w:line="276" w:lineRule="auto"/>
        <w:jc w:val="both"/>
      </w:pPr>
      <w:r w:rsidRPr="008F0439">
        <w:t>Etapa 4</w:t>
      </w:r>
      <w:r w:rsidR="00574C09" w:rsidRPr="008F0439">
        <w:t xml:space="preserve"> Entrega de resultados (ER): cumpliendo con el propósito ético de toda investigación, se hará entrega de los resultados y sugerencias sobre los mismos a la muestra y a las instituciones cooperadoras del proyecto.</w:t>
      </w:r>
    </w:p>
    <w:p w:rsidR="00574C09" w:rsidRPr="008F0439" w:rsidRDefault="00574C09" w:rsidP="009E3B03">
      <w:pPr>
        <w:pStyle w:val="Sinespaciado"/>
        <w:numPr>
          <w:ilvl w:val="0"/>
          <w:numId w:val="22"/>
        </w:numPr>
        <w:spacing w:line="276" w:lineRule="auto"/>
        <w:jc w:val="both"/>
      </w:pPr>
      <w:r w:rsidRPr="008F0439">
        <w:t>Tiempo estimado: dos semanas (agosto).</w:t>
      </w:r>
      <w:bookmarkStart w:id="1" w:name="_GoBack"/>
      <w:bookmarkEnd w:id="1"/>
    </w:p>
    <w:p w:rsidR="00574C09" w:rsidRPr="008F0439" w:rsidRDefault="00246961" w:rsidP="007D363E">
      <w:pPr>
        <w:pStyle w:val="Sinespaciado"/>
        <w:numPr>
          <w:ilvl w:val="0"/>
          <w:numId w:val="22"/>
        </w:numPr>
        <w:spacing w:line="276" w:lineRule="auto"/>
      </w:pPr>
      <w:r w:rsidRPr="008F0439">
        <w:t>Etapa 5</w:t>
      </w:r>
      <w:r w:rsidR="00574C09" w:rsidRPr="008F0439">
        <w:t xml:space="preserve"> entrega de informes (INSO): entrega oficial del informe y socialización pública del estudio (septiembre-octubre).</w:t>
      </w:r>
    </w:p>
    <w:p w:rsidR="00F91D37" w:rsidRPr="009E3B03" w:rsidRDefault="00574C09" w:rsidP="009E3B03">
      <w:pPr>
        <w:pStyle w:val="Sinespaciado"/>
        <w:numPr>
          <w:ilvl w:val="0"/>
          <w:numId w:val="22"/>
        </w:numPr>
        <w:spacing w:line="276" w:lineRule="auto"/>
      </w:pPr>
      <w:r w:rsidRPr="008F0439">
        <w:t>Tiempo estimado: un mes.</w:t>
      </w:r>
    </w:p>
    <w:p w:rsidR="009E3B03" w:rsidRDefault="009E3B03" w:rsidP="009E3B03">
      <w:pPr>
        <w:jc w:val="center"/>
        <w:rPr>
          <w:rFonts w:asciiTheme="majorHAnsi" w:hAnsiTheme="majorHAnsi"/>
        </w:rPr>
      </w:pPr>
      <w:r>
        <w:rPr>
          <w:noProof/>
          <w:lang w:val="es-ES" w:eastAsia="es-ES"/>
        </w:rPr>
        <w:drawing>
          <wp:inline distT="0" distB="0" distL="0" distR="0">
            <wp:extent cx="2681785" cy="1180465"/>
            <wp:effectExtent l="0" t="0" r="4445"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32109" t="44550" r="33343" b="12825"/>
                    <a:stretch/>
                  </pic:blipFill>
                  <pic:spPr bwMode="auto">
                    <a:xfrm>
                      <a:off x="0" y="0"/>
                      <a:ext cx="2736094" cy="120437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91D37" w:rsidRPr="00AE6D34" w:rsidRDefault="00F91D37" w:rsidP="00AE6D34">
      <w:pPr>
        <w:pStyle w:val="Prrafodelista"/>
        <w:numPr>
          <w:ilvl w:val="0"/>
          <w:numId w:val="18"/>
        </w:numPr>
        <w:rPr>
          <w:rFonts w:ascii="Times" w:hAnsi="Times"/>
          <w:b/>
          <w:i/>
          <w:sz w:val="24"/>
        </w:rPr>
      </w:pPr>
      <w:r w:rsidRPr="00AE6D34">
        <w:rPr>
          <w:rFonts w:ascii="Times" w:hAnsi="Times"/>
          <w:b/>
          <w:i/>
          <w:sz w:val="24"/>
        </w:rPr>
        <w:t>Presupuesto General</w:t>
      </w:r>
    </w:p>
    <w:p w:rsidR="00AE6D34" w:rsidRDefault="00AE6D34" w:rsidP="00AE6D34">
      <w:pPr>
        <w:pStyle w:val="Prrafodelista"/>
        <w:ind w:left="360"/>
        <w:rPr>
          <w:rFonts w:ascii="Times" w:hAnsi="Times"/>
          <w:b/>
          <w:i/>
          <w:sz w:val="24"/>
        </w:rPr>
      </w:pPr>
    </w:p>
    <w:p w:rsidR="00F765BA" w:rsidRPr="00AE6D34" w:rsidRDefault="00AE6D34" w:rsidP="00AE6D34">
      <w:pPr>
        <w:pStyle w:val="Prrafodelista"/>
        <w:ind w:left="360"/>
        <w:rPr>
          <w:rFonts w:ascii="Times" w:hAnsi="Times"/>
          <w:i/>
          <w:sz w:val="24"/>
        </w:rPr>
      </w:pPr>
      <w:r w:rsidRPr="00AE6D34">
        <w:rPr>
          <w:rFonts w:ascii="Times" w:hAnsi="Times"/>
          <w:i/>
          <w:sz w:val="24"/>
        </w:rPr>
        <w:t xml:space="preserve">Para evitar duplicar la información, el presupuesto se </w:t>
      </w:r>
      <w:r w:rsidR="008B22D7" w:rsidRPr="00AE6D34">
        <w:rPr>
          <w:rFonts w:ascii="Times" w:hAnsi="Times"/>
          <w:i/>
          <w:sz w:val="24"/>
        </w:rPr>
        <w:t>encuentra</w:t>
      </w:r>
      <w:r w:rsidRPr="00AE6D34">
        <w:rPr>
          <w:rFonts w:ascii="Times" w:hAnsi="Times"/>
          <w:i/>
          <w:sz w:val="24"/>
        </w:rPr>
        <w:t xml:space="preserve"> en el anexo 5.</w:t>
      </w:r>
    </w:p>
    <w:p w:rsidR="000548F9" w:rsidRPr="00AE6D34" w:rsidRDefault="00151A90" w:rsidP="00100848">
      <w:pPr>
        <w:spacing w:after="0" w:line="240" w:lineRule="auto"/>
        <w:ind w:left="360" w:hanging="709"/>
        <w:jc w:val="both"/>
        <w:rPr>
          <w:rFonts w:ascii="Times New Roman" w:hAnsi="Times New Roman" w:cs="Times New Roman"/>
          <w:sz w:val="20"/>
          <w:szCs w:val="20"/>
        </w:rPr>
      </w:pPr>
      <w:r w:rsidRPr="00AE6D34">
        <w:rPr>
          <w:rFonts w:ascii="Times New Roman" w:hAnsi="Times New Roman" w:cs="Times New Roman"/>
          <w:sz w:val="20"/>
          <w:szCs w:val="20"/>
        </w:rPr>
        <w:t>REFERENCIAS.</w:t>
      </w:r>
    </w:p>
    <w:p w:rsidR="00255ECF" w:rsidRPr="00AE6D34" w:rsidRDefault="00255ECF" w:rsidP="00100848">
      <w:pPr>
        <w:spacing w:after="0" w:line="240" w:lineRule="auto"/>
        <w:ind w:hanging="709"/>
        <w:jc w:val="both"/>
        <w:rPr>
          <w:rFonts w:ascii="Times New Roman" w:hAnsi="Times New Roman" w:cs="Times New Roman"/>
          <w:sz w:val="20"/>
          <w:szCs w:val="20"/>
        </w:rPr>
      </w:pPr>
    </w:p>
    <w:p w:rsidR="00255ECF" w:rsidRPr="00100848" w:rsidRDefault="00255ECF" w:rsidP="00100848">
      <w:pPr>
        <w:spacing w:after="0"/>
        <w:ind w:hanging="709"/>
        <w:jc w:val="both"/>
        <w:rPr>
          <w:rFonts w:ascii="Times New Roman" w:hAnsi="Times New Roman" w:cs="Times New Roman"/>
          <w:color w:val="000000"/>
          <w:sz w:val="14"/>
          <w:szCs w:val="20"/>
          <w:shd w:val="clear" w:color="auto" w:fill="FFFFFF"/>
        </w:rPr>
      </w:pPr>
      <w:r w:rsidRPr="00100848">
        <w:rPr>
          <w:rFonts w:ascii="Times New Roman" w:hAnsi="Times New Roman" w:cs="Times New Roman"/>
          <w:color w:val="000000"/>
          <w:sz w:val="14"/>
          <w:szCs w:val="20"/>
          <w:shd w:val="clear" w:color="auto" w:fill="FFFFFF"/>
        </w:rPr>
        <w:t>Alcaldía Mayor de Bogotá D.C. y Universidad del Rosario (2009). Definición de lineamientos técnicos, conceptuales y metodológicos para la construcción de políticas públicas en el marco del ciclo vital del adulto mayor. Contrato 3342.</w:t>
      </w:r>
    </w:p>
    <w:p w:rsidR="00255ECF" w:rsidRPr="00100848" w:rsidRDefault="00255ECF" w:rsidP="00100848">
      <w:pPr>
        <w:spacing w:after="0"/>
        <w:ind w:hanging="709"/>
        <w:jc w:val="both"/>
        <w:rPr>
          <w:rFonts w:ascii="Times New Roman" w:hAnsi="Times New Roman" w:cs="Times New Roman"/>
          <w:color w:val="000000"/>
          <w:sz w:val="14"/>
          <w:szCs w:val="20"/>
          <w:shd w:val="clear" w:color="auto" w:fill="FFFFFF"/>
        </w:rPr>
      </w:pPr>
      <w:r w:rsidRPr="00100848">
        <w:rPr>
          <w:rFonts w:ascii="Times New Roman" w:hAnsi="Times New Roman" w:cs="Times New Roman"/>
          <w:color w:val="000000"/>
          <w:sz w:val="14"/>
          <w:szCs w:val="20"/>
          <w:shd w:val="clear" w:color="auto" w:fill="FFFFFF"/>
        </w:rPr>
        <w:t>Aparicio García-Molina, V.A.; Carbonell Baeza, A. y Delgado Fernández, M. (2010). Beneficios de la actividad física en personas mayores. Revista Internacional de Medicina y Ciencias de la Actividad Física y el Deporte vol. 10 (40) pp. 556-576.</w:t>
      </w:r>
    </w:p>
    <w:p w:rsidR="00255ECF" w:rsidRPr="00100848" w:rsidRDefault="00255ECF" w:rsidP="00100848">
      <w:pPr>
        <w:spacing w:after="0"/>
        <w:ind w:hanging="709"/>
        <w:jc w:val="both"/>
        <w:rPr>
          <w:rFonts w:ascii="Times New Roman" w:hAnsi="Times New Roman" w:cs="Times New Roman"/>
          <w:sz w:val="14"/>
          <w:szCs w:val="20"/>
        </w:rPr>
      </w:pPr>
      <w:r w:rsidRPr="00100848">
        <w:rPr>
          <w:rFonts w:ascii="Times New Roman" w:hAnsi="Times New Roman" w:cs="Times New Roman"/>
          <w:color w:val="000000"/>
          <w:sz w:val="14"/>
          <w:szCs w:val="20"/>
          <w:shd w:val="clear" w:color="auto" w:fill="FFFFFF"/>
        </w:rPr>
        <w:t>Baena, J., Álvarez, B., Piñol, P., Martín, r. y Sabaté, M. (2002). Asociación entre la agrupación (Clustering) de factores de riesgo cardiovascular y el riesgo de enfermedad cardiovascular. Revista Española de Salud Pública, vol. 76, núm. 1, pp. 7-15.</w:t>
      </w:r>
    </w:p>
    <w:p w:rsidR="00255ECF" w:rsidRPr="00100848" w:rsidRDefault="00255ECF" w:rsidP="00100848">
      <w:pPr>
        <w:spacing w:after="0"/>
        <w:ind w:hanging="709"/>
        <w:jc w:val="both"/>
        <w:rPr>
          <w:rFonts w:ascii="Times New Roman" w:hAnsi="Times New Roman" w:cs="Times New Roman"/>
          <w:sz w:val="14"/>
          <w:szCs w:val="20"/>
        </w:rPr>
      </w:pPr>
      <w:r w:rsidRPr="00100848">
        <w:rPr>
          <w:rFonts w:ascii="Times New Roman" w:hAnsi="Times New Roman" w:cs="Times New Roman"/>
          <w:sz w:val="14"/>
          <w:szCs w:val="20"/>
        </w:rPr>
        <w:t>Berrío, M. (2012). Envejecimiento de la población: un reto para la salud pública. Revista Colombiana de Anestesiología, 40, (3): 192–194.</w:t>
      </w:r>
    </w:p>
    <w:p w:rsidR="00255ECF" w:rsidRPr="00100848" w:rsidRDefault="00255ECF" w:rsidP="00100848">
      <w:pPr>
        <w:spacing w:after="0"/>
        <w:ind w:hanging="709"/>
        <w:jc w:val="both"/>
        <w:rPr>
          <w:rFonts w:ascii="Times New Roman" w:hAnsi="Times New Roman" w:cs="Times New Roman"/>
          <w:color w:val="000000"/>
          <w:sz w:val="14"/>
          <w:szCs w:val="20"/>
          <w:shd w:val="clear" w:color="auto" w:fill="FFFFFF"/>
        </w:rPr>
      </w:pPr>
      <w:r w:rsidRPr="00100848">
        <w:rPr>
          <w:rFonts w:ascii="Times New Roman" w:hAnsi="Times New Roman" w:cs="Times New Roman"/>
          <w:color w:val="000000"/>
          <w:sz w:val="14"/>
          <w:szCs w:val="20"/>
          <w:shd w:val="clear" w:color="auto" w:fill="FFFFFF"/>
        </w:rPr>
        <w:t>Celestino, M., Salazar, B. y Novelo, H. (2008). Nutrición y desempeño cognitivo del adulto mayor. Revista Aquichan, Vol. 8 (2), pp. 159-169.</w:t>
      </w:r>
    </w:p>
    <w:p w:rsidR="00255ECF" w:rsidRPr="00100848" w:rsidRDefault="00255ECF" w:rsidP="00100848">
      <w:pPr>
        <w:spacing w:after="0"/>
        <w:ind w:hanging="709"/>
        <w:jc w:val="both"/>
        <w:rPr>
          <w:rStyle w:val="Hipervnculo"/>
          <w:rFonts w:ascii="Times New Roman" w:hAnsi="Times New Roman" w:cs="Times New Roman"/>
          <w:color w:val="auto"/>
          <w:sz w:val="14"/>
          <w:szCs w:val="20"/>
          <w:shd w:val="clear" w:color="auto" w:fill="FFFFFF"/>
        </w:rPr>
      </w:pPr>
      <w:r w:rsidRPr="00100848">
        <w:rPr>
          <w:rFonts w:ascii="Times New Roman" w:hAnsi="Times New Roman" w:cs="Times New Roman"/>
          <w:sz w:val="14"/>
          <w:szCs w:val="20"/>
          <w:shd w:val="clear" w:color="auto" w:fill="FFFFFF"/>
        </w:rPr>
        <w:t xml:space="preserve">Congreso de la república de Colombia, Ley 1276 de 2009, Artículo 7mo. Fecha de expedición: 05/01/2009 Fecha de Entrada en Vigencia: 05/01/2009. </w:t>
      </w:r>
      <w:hyperlink r:id="rId7" w:history="1">
        <w:r w:rsidRPr="00100848">
          <w:rPr>
            <w:rStyle w:val="Hipervnculo"/>
            <w:rFonts w:ascii="Times New Roman" w:hAnsi="Times New Roman" w:cs="Times New Roman"/>
            <w:color w:val="auto"/>
            <w:sz w:val="14"/>
            <w:szCs w:val="20"/>
            <w:shd w:val="clear" w:color="auto" w:fill="FFFFFF"/>
          </w:rPr>
          <w:t>http://www.alcaldiabogota.gov.co/sisjur/normas/Norma1.jsp?i=34495</w:t>
        </w:r>
      </w:hyperlink>
    </w:p>
    <w:p w:rsidR="00255ECF" w:rsidRPr="00100848" w:rsidRDefault="00255ECF" w:rsidP="00100848">
      <w:pPr>
        <w:spacing w:after="0"/>
        <w:ind w:hanging="709"/>
        <w:jc w:val="both"/>
        <w:rPr>
          <w:rFonts w:ascii="Times New Roman" w:hAnsi="Times New Roman" w:cs="Times New Roman"/>
          <w:sz w:val="14"/>
          <w:szCs w:val="20"/>
        </w:rPr>
      </w:pPr>
      <w:r w:rsidRPr="00100848">
        <w:rPr>
          <w:rFonts w:ascii="Times New Roman" w:hAnsi="Times New Roman" w:cs="Times New Roman"/>
          <w:sz w:val="14"/>
          <w:szCs w:val="20"/>
        </w:rPr>
        <w:t>Cortes, A., Villarreal, E., Galicia, E., Martínez, L. y Vargas, E. (2011). Evaluación geriátrica integral del adulto mayor. Revista Médica de Chile, 139: 725-731.</w:t>
      </w:r>
    </w:p>
    <w:p w:rsidR="004B51EB" w:rsidRPr="00100848" w:rsidRDefault="00255ECF" w:rsidP="00100848">
      <w:pPr>
        <w:autoSpaceDE w:val="0"/>
        <w:autoSpaceDN w:val="0"/>
        <w:adjustRightInd w:val="0"/>
        <w:spacing w:after="0"/>
        <w:ind w:hanging="709"/>
        <w:jc w:val="both"/>
        <w:rPr>
          <w:rFonts w:ascii="Times New Roman" w:hAnsi="Times New Roman" w:cs="Times New Roman"/>
          <w:bCs/>
          <w:sz w:val="14"/>
          <w:szCs w:val="20"/>
        </w:rPr>
      </w:pPr>
      <w:r w:rsidRPr="00100848">
        <w:rPr>
          <w:rFonts w:ascii="Times New Roman" w:hAnsi="Times New Roman" w:cs="Times New Roman"/>
          <w:bCs/>
          <w:sz w:val="14"/>
          <w:szCs w:val="20"/>
        </w:rPr>
        <w:t>Díaz J, Muñoz J, Sierra C (2007). Factores de riesgo para enfermedad cardiovascular en trabajadores de una institución prestadora de servicios de salud, Colombia. Revista de salud pública, Vol. 9, N° 1, pp. 64-75.</w:t>
      </w:r>
    </w:p>
    <w:p w:rsidR="004B51EB" w:rsidRPr="00100848" w:rsidRDefault="004B51EB" w:rsidP="00100848">
      <w:pPr>
        <w:autoSpaceDE w:val="0"/>
        <w:autoSpaceDN w:val="0"/>
        <w:adjustRightInd w:val="0"/>
        <w:spacing w:after="0"/>
        <w:ind w:hanging="709"/>
        <w:jc w:val="both"/>
        <w:rPr>
          <w:rFonts w:ascii="Times New Roman" w:hAnsi="Times New Roman" w:cs="Times New Roman"/>
          <w:bCs/>
          <w:sz w:val="14"/>
          <w:szCs w:val="20"/>
        </w:rPr>
      </w:pPr>
      <w:r w:rsidRPr="00100848">
        <w:rPr>
          <w:rFonts w:ascii="Times New Roman" w:hAnsi="Times New Roman" w:cs="Times New Roman"/>
          <w:color w:val="000000"/>
          <w:sz w:val="14"/>
          <w:szCs w:val="20"/>
        </w:rPr>
        <w:t>Fagalde H, María del Pilar, Solar H, José Antonio del, Guerrero B, Marcia, &amp; Atalah S, Eduardo. (2005). Factores de riesgo de enfermedades crónicas no transmisibles en funcionarios de una empresa de servicios financieros de la Región Metropolitana.</w:t>
      </w:r>
      <w:r w:rsidRPr="00100848">
        <w:rPr>
          <w:rFonts w:ascii="Times New Roman" w:hAnsi="Times New Roman" w:cs="Times New Roman"/>
          <w:i/>
          <w:iCs/>
          <w:color w:val="000000"/>
          <w:sz w:val="14"/>
          <w:szCs w:val="20"/>
        </w:rPr>
        <w:t>Revista médica de Chile</w:t>
      </w:r>
      <w:r w:rsidRPr="00100848">
        <w:rPr>
          <w:rFonts w:ascii="Times New Roman" w:hAnsi="Times New Roman" w:cs="Times New Roman"/>
          <w:color w:val="000000"/>
          <w:sz w:val="14"/>
          <w:szCs w:val="20"/>
        </w:rPr>
        <w:t>,</w:t>
      </w:r>
      <w:r w:rsidRPr="00100848">
        <w:rPr>
          <w:rStyle w:val="apple-converted-space"/>
          <w:rFonts w:ascii="Times New Roman" w:hAnsi="Times New Roman" w:cs="Times New Roman"/>
          <w:color w:val="000000"/>
          <w:sz w:val="14"/>
          <w:szCs w:val="20"/>
        </w:rPr>
        <w:t> </w:t>
      </w:r>
      <w:r w:rsidRPr="00100848">
        <w:rPr>
          <w:rFonts w:ascii="Times New Roman" w:hAnsi="Times New Roman" w:cs="Times New Roman"/>
          <w:i/>
          <w:iCs/>
          <w:color w:val="000000"/>
          <w:sz w:val="14"/>
          <w:szCs w:val="20"/>
        </w:rPr>
        <w:t>133</w:t>
      </w:r>
      <w:r w:rsidRPr="00100848">
        <w:rPr>
          <w:rFonts w:ascii="Times New Roman" w:hAnsi="Times New Roman" w:cs="Times New Roman"/>
          <w:color w:val="000000"/>
          <w:sz w:val="14"/>
          <w:szCs w:val="20"/>
        </w:rPr>
        <w:t xml:space="preserve">(8), 919-928. Recuperado en 07 de agosto de 2014, de </w:t>
      </w:r>
      <w:hyperlink r:id="rId8" w:history="1">
        <w:r w:rsidRPr="00100848">
          <w:rPr>
            <w:rStyle w:val="Hipervnculo"/>
            <w:rFonts w:ascii="Times New Roman" w:hAnsi="Times New Roman" w:cs="Times New Roman"/>
            <w:sz w:val="14"/>
            <w:szCs w:val="20"/>
          </w:rPr>
          <w:t>http://www.scielo.cl/scielo.php?script=sci_arttext&amp;pid=S0034</w:t>
        </w:r>
      </w:hyperlink>
    </w:p>
    <w:p w:rsidR="00255ECF" w:rsidRPr="00100848" w:rsidRDefault="004B51EB" w:rsidP="00100848">
      <w:pPr>
        <w:autoSpaceDE w:val="0"/>
        <w:autoSpaceDN w:val="0"/>
        <w:adjustRightInd w:val="0"/>
        <w:spacing w:after="0"/>
        <w:ind w:hanging="709"/>
        <w:jc w:val="both"/>
        <w:rPr>
          <w:rFonts w:ascii="Times New Roman" w:hAnsi="Times New Roman" w:cs="Times New Roman"/>
          <w:bCs/>
          <w:sz w:val="14"/>
          <w:szCs w:val="20"/>
        </w:rPr>
      </w:pPr>
      <w:r w:rsidRPr="00100848">
        <w:rPr>
          <w:rFonts w:ascii="Times New Roman" w:hAnsi="Times New Roman" w:cs="Times New Roman"/>
          <w:sz w:val="14"/>
          <w:szCs w:val="20"/>
        </w:rPr>
        <w:t>González, César A., &amp; Ham-Chande, Roberto. (2007). Funcionalidad y salud: una tipología del envejecimiento en México. Salud Pública de México, 49(Supl. 4)</w:t>
      </w:r>
    </w:p>
    <w:p w:rsidR="00100848" w:rsidRDefault="00DF0A20" w:rsidP="00100848">
      <w:pPr>
        <w:spacing w:before="240"/>
        <w:ind w:hanging="709"/>
        <w:rPr>
          <w:rFonts w:ascii="Times New Roman" w:hAnsi="Times New Roman" w:cs="Times New Roman"/>
          <w:sz w:val="14"/>
          <w:szCs w:val="20"/>
          <w:shd w:val="clear" w:color="auto" w:fill="FFFFFF"/>
        </w:rPr>
      </w:pPr>
      <w:r w:rsidRPr="00100848">
        <w:rPr>
          <w:rFonts w:ascii="Times New Roman" w:hAnsi="Times New Roman" w:cs="Times New Roman"/>
          <w:sz w:val="14"/>
          <w:szCs w:val="20"/>
        </w:rPr>
        <w:t>Jackson, C. F., &amp; Wenger, N. K. (2011). Enfermedad cardiovascular en el anciano. Revista Española de Cardiología, 64(08), 697-712.</w:t>
      </w:r>
      <w:r w:rsidR="00255ECF" w:rsidRPr="00100848">
        <w:rPr>
          <w:rFonts w:ascii="Times New Roman" w:hAnsi="Times New Roman" w:cs="Times New Roman"/>
          <w:sz w:val="14"/>
          <w:szCs w:val="20"/>
          <w:lang w:val="es-CO"/>
        </w:rPr>
        <w:t xml:space="preserve">Landinez, N., </w:t>
      </w:r>
      <w:r w:rsidR="00255ECF" w:rsidRPr="00100848">
        <w:rPr>
          <w:rFonts w:ascii="Times New Roman" w:hAnsi="Times New Roman" w:cs="Times New Roman"/>
          <w:sz w:val="14"/>
          <w:szCs w:val="20"/>
        </w:rPr>
        <w:t>Contreras K. y Castro A. (2012). Proceso de envejecimiento, ejercicio y fisioterapia. Revista Cubana de Salud Pública, 38, (4): 562-580.</w:t>
      </w:r>
      <w:r w:rsidRPr="00625CD0">
        <w:rPr>
          <w:sz w:val="14"/>
          <w:szCs w:val="20"/>
        </w:rPr>
        <w:t>Lilienfeld Am (1980)  Lilienfeld De. Foundations of epidemiology. 2nd Ed., Oxford UniversityPress, New York.</w:t>
      </w:r>
      <w:r w:rsidR="00255ECF" w:rsidRPr="00100848">
        <w:rPr>
          <w:rFonts w:ascii="Times New Roman" w:hAnsi="Times New Roman" w:cs="Times New Roman"/>
          <w:sz w:val="14"/>
          <w:szCs w:val="20"/>
          <w:shd w:val="clear" w:color="auto" w:fill="FFFFFF"/>
        </w:rPr>
        <w:t>Machado, J. y Machado, M. (2013). Prevalencia de factores de riesgo cardiovascular en pacientes con dislipidemia afiliados al sistema de salud en Colombia. Revista Peru Med Exp Salud Pública, 30, (2): 205-11.</w:t>
      </w:r>
    </w:p>
    <w:p w:rsidR="00100848" w:rsidRDefault="00DF0A20" w:rsidP="00100848">
      <w:pPr>
        <w:spacing w:before="240"/>
        <w:ind w:hanging="709"/>
        <w:rPr>
          <w:rFonts w:ascii="Times New Roman" w:hAnsi="Times New Roman" w:cs="Times New Roman"/>
          <w:sz w:val="14"/>
          <w:szCs w:val="20"/>
        </w:rPr>
      </w:pPr>
      <w:r w:rsidRPr="00625CD0">
        <w:rPr>
          <w:sz w:val="14"/>
          <w:szCs w:val="20"/>
        </w:rPr>
        <w:t>Macmahon B, PughTf. (1976).Principios y métodos de epidemiología. 2nd Ed., La Prensa Médica Mexicana, México</w:t>
      </w:r>
    </w:p>
    <w:p w:rsidR="00255ECF" w:rsidRPr="00100848" w:rsidRDefault="00255ECF" w:rsidP="00100848">
      <w:pPr>
        <w:spacing w:before="240"/>
        <w:ind w:hanging="709"/>
        <w:rPr>
          <w:rFonts w:ascii="Times New Roman" w:hAnsi="Times New Roman" w:cs="Times New Roman"/>
          <w:sz w:val="14"/>
          <w:szCs w:val="20"/>
        </w:rPr>
      </w:pPr>
      <w:r w:rsidRPr="00100848">
        <w:rPr>
          <w:rFonts w:ascii="Times New Roman" w:hAnsi="Times New Roman" w:cs="Times New Roman"/>
          <w:color w:val="000000"/>
          <w:sz w:val="14"/>
          <w:szCs w:val="20"/>
          <w:shd w:val="clear" w:color="auto" w:fill="FFFFFF"/>
        </w:rPr>
        <w:t xml:space="preserve">Ministerio de la Protección Social (2007). Fundación Saldarriaga Concha. Diagnóstico de los Adultos Mayores en Colombia. Bogotá. </w:t>
      </w:r>
      <w:hyperlink r:id="rId9" w:history="1">
        <w:r w:rsidRPr="00100848">
          <w:rPr>
            <w:rStyle w:val="Hipervnculo"/>
            <w:rFonts w:ascii="Times New Roman" w:hAnsi="Times New Roman" w:cs="Times New Roman"/>
            <w:color w:val="auto"/>
            <w:sz w:val="14"/>
            <w:szCs w:val="20"/>
            <w:shd w:val="clear" w:color="auto" w:fill="FFFFFF"/>
          </w:rPr>
          <w:t>http://www.minsalud.gov.co/proteccionsocial/Documents/Situacion</w:t>
        </w:r>
      </w:hyperlink>
      <w:r w:rsidRPr="00100848">
        <w:rPr>
          <w:rFonts w:ascii="Times New Roman" w:hAnsi="Times New Roman" w:cs="Times New Roman"/>
          <w:sz w:val="14"/>
          <w:szCs w:val="20"/>
          <w:shd w:val="clear" w:color="auto" w:fill="FFFFFF"/>
        </w:rPr>
        <w:t>...</w:t>
      </w:r>
    </w:p>
    <w:p w:rsidR="00255ECF" w:rsidRPr="00100848" w:rsidRDefault="00255ECF" w:rsidP="00100848">
      <w:pPr>
        <w:spacing w:after="0"/>
        <w:ind w:hanging="709"/>
        <w:jc w:val="both"/>
        <w:rPr>
          <w:rFonts w:ascii="Times New Roman" w:hAnsi="Times New Roman" w:cs="Times New Roman"/>
          <w:sz w:val="14"/>
          <w:szCs w:val="20"/>
        </w:rPr>
      </w:pPr>
      <w:r w:rsidRPr="00100848">
        <w:rPr>
          <w:rFonts w:ascii="Times New Roman" w:hAnsi="Times New Roman" w:cs="Times New Roman"/>
          <w:sz w:val="14"/>
          <w:szCs w:val="20"/>
        </w:rPr>
        <w:t>Mora, G. (2008). El envejecimiento y la actividad física. Revista Movimiento Científico, 2, (1), pp. 1-19.</w:t>
      </w:r>
    </w:p>
    <w:p w:rsidR="00255ECF" w:rsidRPr="00100848" w:rsidRDefault="00255ECF" w:rsidP="00100848">
      <w:pPr>
        <w:spacing w:after="0"/>
        <w:ind w:hanging="709"/>
        <w:jc w:val="both"/>
        <w:rPr>
          <w:rFonts w:ascii="Times New Roman" w:hAnsi="Times New Roman" w:cs="Times New Roman"/>
          <w:sz w:val="14"/>
          <w:szCs w:val="20"/>
        </w:rPr>
      </w:pPr>
      <w:r w:rsidRPr="00100848">
        <w:rPr>
          <w:rFonts w:ascii="Times New Roman" w:hAnsi="Times New Roman" w:cs="Times New Roman"/>
          <w:sz w:val="14"/>
          <w:szCs w:val="20"/>
        </w:rPr>
        <w:t>Ministerio de la Protección Social (2005). Norma técnica para la Prevención de enfermedad crónica y mantenimiento de la salud en el individuo sano mayor de 45 años. Colombia.</w:t>
      </w:r>
    </w:p>
    <w:p w:rsidR="00255ECF" w:rsidRPr="00100848" w:rsidRDefault="00255ECF" w:rsidP="00100848">
      <w:pPr>
        <w:spacing w:after="0"/>
        <w:ind w:hanging="709"/>
        <w:jc w:val="both"/>
        <w:rPr>
          <w:rFonts w:ascii="Times New Roman" w:hAnsi="Times New Roman" w:cs="Times New Roman"/>
          <w:sz w:val="14"/>
          <w:szCs w:val="20"/>
        </w:rPr>
      </w:pPr>
      <w:r w:rsidRPr="00100848">
        <w:rPr>
          <w:rFonts w:ascii="Times New Roman" w:hAnsi="Times New Roman" w:cs="Times New Roman"/>
          <w:sz w:val="14"/>
          <w:szCs w:val="20"/>
        </w:rPr>
        <w:lastRenderedPageBreak/>
        <w:t>Negredo, A. y Castellano C. (2012). Evaluación del componente afectivo de las actitudes viejistas en ancianos: escala sobre el Prejuicio hacia la Vejez y el Envejecimiento (PREJ-ENV). International Journal of Psychology and Psychological Therapy, 12, (1): 69-83.</w:t>
      </w:r>
    </w:p>
    <w:p w:rsidR="00255ECF" w:rsidRPr="00100848" w:rsidRDefault="00255ECF" w:rsidP="00100848">
      <w:pPr>
        <w:spacing w:after="0"/>
        <w:ind w:hanging="709"/>
        <w:jc w:val="both"/>
        <w:rPr>
          <w:rFonts w:ascii="Times New Roman" w:hAnsi="Times New Roman" w:cs="Times New Roman"/>
          <w:sz w:val="14"/>
          <w:szCs w:val="20"/>
        </w:rPr>
      </w:pPr>
      <w:r w:rsidRPr="00100848">
        <w:rPr>
          <w:rFonts w:ascii="Times New Roman" w:hAnsi="Times New Roman" w:cs="Times New Roman"/>
          <w:sz w:val="14"/>
          <w:szCs w:val="20"/>
        </w:rPr>
        <w:t>Organización Mundial de la Salud (OMS) (marzo 2013). Centro de prensa (</w:t>
      </w:r>
      <w:hyperlink r:id="rId10" w:history="1">
        <w:r w:rsidRPr="00100848">
          <w:rPr>
            <w:rStyle w:val="Hipervnculo"/>
            <w:rFonts w:ascii="Times New Roman" w:hAnsi="Times New Roman" w:cs="Times New Roman"/>
            <w:sz w:val="14"/>
            <w:szCs w:val="20"/>
          </w:rPr>
          <w:t>http://www.who.int/mediacentre/factsheets/fs317/es/</w:t>
        </w:r>
      </w:hyperlink>
      <w:r w:rsidRPr="00100848">
        <w:rPr>
          <w:rFonts w:ascii="Times New Roman" w:hAnsi="Times New Roman" w:cs="Times New Roman"/>
          <w:sz w:val="14"/>
          <w:szCs w:val="20"/>
        </w:rPr>
        <w:t>).</w:t>
      </w:r>
    </w:p>
    <w:p w:rsidR="00255ECF" w:rsidRPr="00100848" w:rsidRDefault="00255ECF" w:rsidP="00100848">
      <w:pPr>
        <w:spacing w:after="0"/>
        <w:ind w:hanging="709"/>
        <w:jc w:val="both"/>
        <w:rPr>
          <w:rFonts w:ascii="Times New Roman" w:hAnsi="Times New Roman" w:cs="Times New Roman"/>
          <w:sz w:val="14"/>
          <w:szCs w:val="20"/>
        </w:rPr>
      </w:pPr>
      <w:r w:rsidRPr="00100848">
        <w:rPr>
          <w:rFonts w:ascii="Times New Roman" w:hAnsi="Times New Roman" w:cs="Times New Roman"/>
          <w:sz w:val="14"/>
          <w:szCs w:val="20"/>
        </w:rPr>
        <w:t>Organización Panamericana de la Salud. Módulos de valoración clínica. Evaluación funcional del adulto mayor. Módulo 3, parte 1.  Pp. 31 – 46. (</w:t>
      </w:r>
      <w:hyperlink r:id="rId11" w:history="1">
        <w:r w:rsidRPr="00100848">
          <w:rPr>
            <w:rStyle w:val="Hipervnculo"/>
            <w:rFonts w:ascii="Times New Roman" w:hAnsi="Times New Roman" w:cs="Times New Roman"/>
            <w:sz w:val="14"/>
            <w:szCs w:val="20"/>
          </w:rPr>
          <w:t>http://www.sld.cu/galerias/pdf/sitios/gericuba/modulo3.pdf</w:t>
        </w:r>
      </w:hyperlink>
      <w:r w:rsidRPr="00100848">
        <w:rPr>
          <w:rFonts w:ascii="Times New Roman" w:hAnsi="Times New Roman" w:cs="Times New Roman"/>
          <w:sz w:val="14"/>
          <w:szCs w:val="20"/>
        </w:rPr>
        <w:t>).</w:t>
      </w:r>
    </w:p>
    <w:p w:rsidR="00DF0A20" w:rsidRPr="00100848" w:rsidRDefault="00DF0A20" w:rsidP="00100848">
      <w:pPr>
        <w:spacing w:after="0"/>
        <w:ind w:hanging="709"/>
        <w:jc w:val="both"/>
        <w:rPr>
          <w:rFonts w:ascii="Times New Roman" w:hAnsi="Times New Roman" w:cs="Times New Roman"/>
          <w:sz w:val="14"/>
          <w:szCs w:val="20"/>
        </w:rPr>
      </w:pPr>
      <w:r w:rsidRPr="00100848">
        <w:rPr>
          <w:rFonts w:ascii="Times New Roman" w:hAnsi="Times New Roman" w:cs="Times New Roman"/>
          <w:sz w:val="14"/>
          <w:szCs w:val="20"/>
        </w:rPr>
        <w:t>Pérez, Viviana, &amp; Sierra, Felipe. (2009). Biología del envejecimiento. Revista médica de Chile, 137(2), 296-302. Recuperado en 03 de agosto de 2014, de http://www.scielo.cl/scielo.php?script=sci_arttext&amp;pid=S0034</w:t>
      </w:r>
    </w:p>
    <w:p w:rsidR="00255ECF" w:rsidRPr="00100848" w:rsidRDefault="00255ECF" w:rsidP="00100848">
      <w:pPr>
        <w:spacing w:after="0"/>
        <w:ind w:hanging="709"/>
        <w:jc w:val="both"/>
        <w:rPr>
          <w:rFonts w:ascii="Times New Roman" w:hAnsi="Times New Roman" w:cs="Times New Roman"/>
          <w:color w:val="000000"/>
          <w:sz w:val="14"/>
          <w:szCs w:val="20"/>
          <w:shd w:val="clear" w:color="auto" w:fill="FFFFFF"/>
        </w:rPr>
      </w:pPr>
      <w:r w:rsidRPr="00100848">
        <w:rPr>
          <w:rFonts w:ascii="Times New Roman" w:hAnsi="Times New Roman" w:cs="Times New Roman"/>
          <w:color w:val="000000"/>
          <w:sz w:val="14"/>
          <w:szCs w:val="20"/>
          <w:shd w:val="clear" w:color="auto" w:fill="FFFFFF"/>
        </w:rPr>
        <w:t>Pitarque, R., Bolzán, A., Gatella, M., Echaide, M., Guanuco, S., Arias, M., Murillo, M. y Ortiz, Z. (2006). Factores de riesgo de enfermedad cardiovascular en la población adulta de la ciudad de Olavarría, Buenos Aires. Revista Argentina de Cardiología, vol. 74, núm. 6, pp. 447-452.</w:t>
      </w:r>
    </w:p>
    <w:p w:rsidR="00255ECF" w:rsidRPr="00100848" w:rsidRDefault="00255ECF" w:rsidP="00100848">
      <w:pPr>
        <w:spacing w:after="0"/>
        <w:ind w:hanging="709"/>
        <w:jc w:val="both"/>
        <w:rPr>
          <w:rFonts w:ascii="Times New Roman" w:hAnsi="Times New Roman" w:cs="Times New Roman"/>
          <w:sz w:val="14"/>
          <w:szCs w:val="20"/>
          <w:shd w:val="clear" w:color="auto" w:fill="FFFFFF"/>
        </w:rPr>
      </w:pPr>
      <w:r w:rsidRPr="00100848">
        <w:rPr>
          <w:rFonts w:ascii="Times New Roman" w:hAnsi="Times New Roman" w:cs="Times New Roman"/>
          <w:sz w:val="14"/>
          <w:szCs w:val="20"/>
          <w:shd w:val="clear" w:color="auto" w:fill="FFFFFF"/>
        </w:rPr>
        <w:t>Observatorio Nacional de Salud (ONS). Instituto Nacional de Salud. Ministerio de Salud - Colombia (Boletín No. 1, Diciembre 9 de 20139 (www.ins.gov.co).</w:t>
      </w:r>
    </w:p>
    <w:p w:rsidR="00255ECF" w:rsidRPr="00100848" w:rsidRDefault="00255ECF" w:rsidP="00100848">
      <w:pPr>
        <w:spacing w:after="0"/>
        <w:ind w:hanging="709"/>
        <w:jc w:val="both"/>
        <w:rPr>
          <w:rFonts w:ascii="Times New Roman" w:hAnsi="Times New Roman" w:cs="Times New Roman"/>
          <w:sz w:val="14"/>
          <w:szCs w:val="20"/>
          <w:shd w:val="clear" w:color="auto" w:fill="FFFFFF"/>
        </w:rPr>
      </w:pPr>
      <w:r w:rsidRPr="00100848">
        <w:rPr>
          <w:rFonts w:ascii="Times New Roman" w:hAnsi="Times New Roman" w:cs="Times New Roman"/>
          <w:sz w:val="14"/>
          <w:szCs w:val="20"/>
          <w:shd w:val="clear" w:color="auto" w:fill="FFFFFF"/>
          <w:lang w:val="en-US"/>
        </w:rPr>
        <w:t xml:space="preserve">Rondanelli R. y Rondanelli R. (2012). </w:t>
      </w:r>
      <w:r w:rsidRPr="00100848">
        <w:rPr>
          <w:rFonts w:ascii="Times New Roman" w:hAnsi="Times New Roman" w:cs="Times New Roman"/>
          <w:sz w:val="14"/>
          <w:szCs w:val="20"/>
          <w:shd w:val="clear" w:color="auto" w:fill="FFFFFF"/>
        </w:rPr>
        <w:t>Prevención cardiovascular en el adulto mayor. Revista Médica Clínica Condes, 23, (6), 724-731.</w:t>
      </w:r>
    </w:p>
    <w:p w:rsidR="00255ECF" w:rsidRPr="00100848" w:rsidRDefault="00255ECF" w:rsidP="00100848">
      <w:pPr>
        <w:spacing w:after="0"/>
        <w:ind w:hanging="709"/>
        <w:jc w:val="both"/>
        <w:rPr>
          <w:rFonts w:ascii="Times New Roman" w:hAnsi="Times New Roman" w:cs="Times New Roman"/>
          <w:color w:val="000000"/>
          <w:sz w:val="14"/>
          <w:szCs w:val="20"/>
          <w:shd w:val="clear" w:color="auto" w:fill="FFFFFF"/>
        </w:rPr>
      </w:pPr>
      <w:r w:rsidRPr="00100848">
        <w:rPr>
          <w:rFonts w:ascii="Times New Roman" w:hAnsi="Times New Roman" w:cs="Times New Roman"/>
          <w:color w:val="000000"/>
          <w:sz w:val="14"/>
          <w:szCs w:val="20"/>
          <w:shd w:val="clear" w:color="auto" w:fill="FFFFFF"/>
        </w:rPr>
        <w:t>Romero Cabrera A. J. (2008). Perspectivas actuales en la asistencia sanitaria al adulto mayor. Revista Panam Salud Pública, 24, (4): 288–94.</w:t>
      </w:r>
    </w:p>
    <w:p w:rsidR="00C364A7" w:rsidRPr="00100848" w:rsidRDefault="00255ECF" w:rsidP="00100848">
      <w:pPr>
        <w:spacing w:after="0"/>
        <w:ind w:hanging="709"/>
        <w:jc w:val="both"/>
        <w:rPr>
          <w:rFonts w:ascii="Times New Roman" w:hAnsi="Times New Roman" w:cs="Times New Roman"/>
          <w:color w:val="000000"/>
          <w:sz w:val="14"/>
          <w:szCs w:val="20"/>
          <w:shd w:val="clear" w:color="auto" w:fill="FFFFFF"/>
        </w:rPr>
      </w:pPr>
      <w:r w:rsidRPr="00100848">
        <w:rPr>
          <w:rFonts w:ascii="Times New Roman" w:hAnsi="Times New Roman" w:cs="Times New Roman"/>
          <w:color w:val="000000"/>
          <w:sz w:val="14"/>
          <w:szCs w:val="20"/>
          <w:shd w:val="clear" w:color="auto" w:fill="FFFFFF"/>
        </w:rPr>
        <w:t>Ruiz A. (2011). Control del riesgo cardiovascular en el anciano. Revista Clínica Española, 211 Suplemento 1:2-7, pp. 2-7.</w:t>
      </w:r>
    </w:p>
    <w:sectPr w:rsidR="00C364A7" w:rsidRPr="00100848" w:rsidSect="00F03D04">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ormata LightCondensed">
    <w:altName w:val="Arial"/>
    <w:charset w:val="00"/>
    <w:family w:val="swiss"/>
    <w:pitch w:val="variable"/>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CCF0A24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0000005"/>
    <w:multiLevelType w:val="hybridMultilevel"/>
    <w:tmpl w:val="ECBA4E24"/>
    <w:lvl w:ilvl="0" w:tplc="240A000F">
      <w:start w:val="1"/>
      <w:numFmt w:val="decimal"/>
      <w:lvlText w:val="%1."/>
      <w:lvlJc w:val="left"/>
      <w:pPr>
        <w:ind w:left="36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0000006"/>
    <w:multiLevelType w:val="hybridMultilevel"/>
    <w:tmpl w:val="4196A0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0000008"/>
    <w:multiLevelType w:val="hybridMultilevel"/>
    <w:tmpl w:val="10CA5B00"/>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nsid w:val="0DF701F6"/>
    <w:multiLevelType w:val="multilevel"/>
    <w:tmpl w:val="E0E2D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A27724B"/>
    <w:multiLevelType w:val="hybridMultilevel"/>
    <w:tmpl w:val="34F0586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1C592D2C"/>
    <w:multiLevelType w:val="hybridMultilevel"/>
    <w:tmpl w:val="4196A0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4FE637B"/>
    <w:multiLevelType w:val="multilevel"/>
    <w:tmpl w:val="4BC43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263D34BF"/>
    <w:multiLevelType w:val="hybridMultilevel"/>
    <w:tmpl w:val="82B03C6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nsid w:val="2ACF0E3A"/>
    <w:multiLevelType w:val="hybridMultilevel"/>
    <w:tmpl w:val="F0A6C1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FBA2F71"/>
    <w:multiLevelType w:val="hybridMultilevel"/>
    <w:tmpl w:val="77965A06"/>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1">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126234A"/>
    <w:multiLevelType w:val="hybridMultilevel"/>
    <w:tmpl w:val="39EA236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3">
    <w:nsid w:val="42F87868"/>
    <w:multiLevelType w:val="hybridMultilevel"/>
    <w:tmpl w:val="26888DA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453421BE"/>
    <w:multiLevelType w:val="hybridMultilevel"/>
    <w:tmpl w:val="7CE83D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4D3E7FC4"/>
    <w:multiLevelType w:val="hybridMultilevel"/>
    <w:tmpl w:val="CA6C4280"/>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6">
    <w:nsid w:val="63893ACC"/>
    <w:multiLevelType w:val="hybridMultilevel"/>
    <w:tmpl w:val="AD3696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B8E64E7"/>
    <w:multiLevelType w:val="hybridMultilevel"/>
    <w:tmpl w:val="8306F39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6CD278AA"/>
    <w:multiLevelType w:val="hybridMultilevel"/>
    <w:tmpl w:val="34F0586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6D9F3DAA"/>
    <w:multiLevelType w:val="hybridMultilevel"/>
    <w:tmpl w:val="ECBA4E2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nsid w:val="762B133E"/>
    <w:multiLevelType w:val="multilevel"/>
    <w:tmpl w:val="B74686B0"/>
    <w:lvl w:ilvl="0">
      <w:start w:val="1"/>
      <w:numFmt w:val="upperRoman"/>
      <w:pStyle w:val="Ttulo1"/>
      <w:suff w:val="space"/>
      <w:lvlText w:val="%1."/>
      <w:lvlJc w:val="left"/>
      <w:pPr>
        <w:ind w:left="0" w:firstLine="0"/>
      </w:pPr>
      <w:rPr>
        <w:rFonts w:hint="default"/>
      </w:rPr>
    </w:lvl>
    <w:lvl w:ilvl="1">
      <w:start w:val="1"/>
      <w:numFmt w:val="decimal"/>
      <w:pStyle w:val="Ttulo2"/>
      <w:suff w:val="space"/>
      <w:lvlText w:val="%2."/>
      <w:lvlJc w:val="left"/>
      <w:pPr>
        <w:ind w:left="720" w:firstLine="0"/>
      </w:pPr>
      <w:rPr>
        <w:rFonts w:hint="default"/>
      </w:rPr>
    </w:lvl>
    <w:lvl w:ilvl="2">
      <w:start w:val="1"/>
      <w:numFmt w:val="decimal"/>
      <w:pStyle w:val="Ttulo3"/>
      <w:suff w:val="space"/>
      <w:lvlText w:val="%3.%2"/>
      <w:lvlJc w:val="left"/>
      <w:pPr>
        <w:ind w:left="1440" w:firstLine="0"/>
      </w:pPr>
      <w:rPr>
        <w:rFonts w:hint="default"/>
      </w:rPr>
    </w:lvl>
    <w:lvl w:ilvl="3">
      <w:start w:val="1"/>
      <w:numFmt w:val="lowerLetter"/>
      <w:pStyle w:val="Ttulo4"/>
      <w:lvlText w:val="%4)"/>
      <w:lvlJc w:val="left"/>
      <w:pPr>
        <w:tabs>
          <w:tab w:val="num" w:pos="2520"/>
        </w:tabs>
        <w:ind w:left="2160" w:firstLine="0"/>
      </w:pPr>
      <w:rPr>
        <w:rFonts w:hint="default"/>
      </w:rPr>
    </w:lvl>
    <w:lvl w:ilvl="4">
      <w:start w:val="1"/>
      <w:numFmt w:val="decimal"/>
      <w:pStyle w:val="Ttulo5"/>
      <w:lvlText w:val="(%5)"/>
      <w:lvlJc w:val="left"/>
      <w:pPr>
        <w:tabs>
          <w:tab w:val="num" w:pos="3240"/>
        </w:tabs>
        <w:ind w:left="2880" w:firstLine="0"/>
      </w:pPr>
      <w:rPr>
        <w:rFonts w:hint="default"/>
      </w:rPr>
    </w:lvl>
    <w:lvl w:ilvl="5">
      <w:start w:val="1"/>
      <w:numFmt w:val="lowerLetter"/>
      <w:pStyle w:val="Ttulo6"/>
      <w:lvlText w:val="(%6)"/>
      <w:lvlJc w:val="left"/>
      <w:pPr>
        <w:tabs>
          <w:tab w:val="num" w:pos="3960"/>
        </w:tabs>
        <w:ind w:left="3600" w:firstLine="0"/>
      </w:pPr>
      <w:rPr>
        <w:rFonts w:hint="default"/>
      </w:rPr>
    </w:lvl>
    <w:lvl w:ilvl="6">
      <w:start w:val="1"/>
      <w:numFmt w:val="lowerRoman"/>
      <w:pStyle w:val="Ttulo7"/>
      <w:lvlText w:val="(%7)"/>
      <w:lvlJc w:val="left"/>
      <w:pPr>
        <w:tabs>
          <w:tab w:val="num" w:pos="4680"/>
        </w:tabs>
        <w:ind w:left="4320" w:firstLine="0"/>
      </w:pPr>
      <w:rPr>
        <w:rFonts w:hint="default"/>
      </w:rPr>
    </w:lvl>
    <w:lvl w:ilvl="7">
      <w:start w:val="1"/>
      <w:numFmt w:val="lowerLetter"/>
      <w:pStyle w:val="Ttulo8"/>
      <w:lvlText w:val="(%8)"/>
      <w:lvlJc w:val="left"/>
      <w:pPr>
        <w:tabs>
          <w:tab w:val="num" w:pos="5400"/>
        </w:tabs>
        <w:ind w:left="5040" w:firstLine="0"/>
      </w:pPr>
      <w:rPr>
        <w:rFonts w:hint="default"/>
      </w:rPr>
    </w:lvl>
    <w:lvl w:ilvl="8">
      <w:start w:val="1"/>
      <w:numFmt w:val="lowerRoman"/>
      <w:pStyle w:val="Ttulo9"/>
      <w:lvlText w:val="(%9)"/>
      <w:lvlJc w:val="left"/>
      <w:pPr>
        <w:tabs>
          <w:tab w:val="num" w:pos="6120"/>
        </w:tabs>
        <w:ind w:left="5760" w:firstLine="0"/>
      </w:pPr>
      <w:rPr>
        <w:rFonts w:hint="default"/>
      </w:rPr>
    </w:lvl>
  </w:abstractNum>
  <w:abstractNum w:abstractNumId="21">
    <w:nsid w:val="7AD936EC"/>
    <w:multiLevelType w:val="hybridMultilevel"/>
    <w:tmpl w:val="C400AF02"/>
    <w:lvl w:ilvl="0" w:tplc="0C0A000F">
      <w:start w:val="8"/>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2">
    <w:nsid w:val="7C145036"/>
    <w:multiLevelType w:val="hybridMultilevel"/>
    <w:tmpl w:val="C44059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7"/>
  </w:num>
  <w:num w:numId="2">
    <w:abstractNumId w:val="13"/>
  </w:num>
  <w:num w:numId="3">
    <w:abstractNumId w:val="18"/>
  </w:num>
  <w:num w:numId="4">
    <w:abstractNumId w:val="8"/>
  </w:num>
  <w:num w:numId="5">
    <w:abstractNumId w:val="5"/>
  </w:num>
  <w:num w:numId="6">
    <w:abstractNumId w:val="19"/>
  </w:num>
  <w:num w:numId="7">
    <w:abstractNumId w:val="6"/>
  </w:num>
  <w:num w:numId="8">
    <w:abstractNumId w:val="4"/>
  </w:num>
  <w:num w:numId="9">
    <w:abstractNumId w:val="7"/>
  </w:num>
  <w:num w:numId="10">
    <w:abstractNumId w:val="15"/>
  </w:num>
  <w:num w:numId="11">
    <w:abstractNumId w:val="0"/>
  </w:num>
  <w:num w:numId="12">
    <w:abstractNumId w:val="1"/>
  </w:num>
  <w:num w:numId="13">
    <w:abstractNumId w:val="2"/>
  </w:num>
  <w:num w:numId="14">
    <w:abstractNumId w:val="3"/>
  </w:num>
  <w:num w:numId="15">
    <w:abstractNumId w:val="11"/>
  </w:num>
  <w:num w:numId="16">
    <w:abstractNumId w:val="12"/>
  </w:num>
  <w:num w:numId="17">
    <w:abstractNumId w:val="16"/>
  </w:num>
  <w:num w:numId="18">
    <w:abstractNumId w:val="21"/>
  </w:num>
  <w:num w:numId="19">
    <w:abstractNumId w:val="9"/>
  </w:num>
  <w:num w:numId="20">
    <w:abstractNumId w:val="22"/>
  </w:num>
  <w:num w:numId="21">
    <w:abstractNumId w:val="20"/>
  </w:num>
  <w:num w:numId="22">
    <w:abstractNumId w:val="14"/>
  </w:num>
  <w:num w:numId="2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characterSpacingControl w:val="doNotCompress"/>
  <w:compat/>
  <w:rsids>
    <w:rsidRoot w:val="00A70935"/>
    <w:rsid w:val="0002075F"/>
    <w:rsid w:val="00024B72"/>
    <w:rsid w:val="00040A32"/>
    <w:rsid w:val="00042610"/>
    <w:rsid w:val="000548F9"/>
    <w:rsid w:val="000C1095"/>
    <w:rsid w:val="000C3EBA"/>
    <w:rsid w:val="000E3944"/>
    <w:rsid w:val="000F7A04"/>
    <w:rsid w:val="00100848"/>
    <w:rsid w:val="001032B4"/>
    <w:rsid w:val="001339D2"/>
    <w:rsid w:val="00151A90"/>
    <w:rsid w:val="001908C4"/>
    <w:rsid w:val="001A2680"/>
    <w:rsid w:val="001A5677"/>
    <w:rsid w:val="001A6614"/>
    <w:rsid w:val="001C2A57"/>
    <w:rsid w:val="001F5CFA"/>
    <w:rsid w:val="00213B8D"/>
    <w:rsid w:val="00225C82"/>
    <w:rsid w:val="00243AAC"/>
    <w:rsid w:val="00246961"/>
    <w:rsid w:val="00255ECF"/>
    <w:rsid w:val="00263343"/>
    <w:rsid w:val="002A2FDC"/>
    <w:rsid w:val="002A3EB7"/>
    <w:rsid w:val="002E4D7A"/>
    <w:rsid w:val="002E66CF"/>
    <w:rsid w:val="003077B5"/>
    <w:rsid w:val="00314F16"/>
    <w:rsid w:val="003453E4"/>
    <w:rsid w:val="0035758B"/>
    <w:rsid w:val="00373FDC"/>
    <w:rsid w:val="0038744D"/>
    <w:rsid w:val="003A60D7"/>
    <w:rsid w:val="003C7186"/>
    <w:rsid w:val="003D77B3"/>
    <w:rsid w:val="00421091"/>
    <w:rsid w:val="0043065F"/>
    <w:rsid w:val="0043092B"/>
    <w:rsid w:val="004447FE"/>
    <w:rsid w:val="0045575C"/>
    <w:rsid w:val="0048279A"/>
    <w:rsid w:val="004A20E1"/>
    <w:rsid w:val="004B49E8"/>
    <w:rsid w:val="004B51EB"/>
    <w:rsid w:val="004C110C"/>
    <w:rsid w:val="004C1C71"/>
    <w:rsid w:val="004D0D38"/>
    <w:rsid w:val="004E1206"/>
    <w:rsid w:val="004F4701"/>
    <w:rsid w:val="004F7F68"/>
    <w:rsid w:val="005121D1"/>
    <w:rsid w:val="00574C09"/>
    <w:rsid w:val="00575E1E"/>
    <w:rsid w:val="005B2E52"/>
    <w:rsid w:val="005B7353"/>
    <w:rsid w:val="005C3656"/>
    <w:rsid w:val="005D0EDE"/>
    <w:rsid w:val="005F1D59"/>
    <w:rsid w:val="005F2898"/>
    <w:rsid w:val="00600714"/>
    <w:rsid w:val="006068BE"/>
    <w:rsid w:val="00607F03"/>
    <w:rsid w:val="00625CD0"/>
    <w:rsid w:val="00632AC6"/>
    <w:rsid w:val="006375F5"/>
    <w:rsid w:val="006969C8"/>
    <w:rsid w:val="006B7C51"/>
    <w:rsid w:val="006C2174"/>
    <w:rsid w:val="006D7A66"/>
    <w:rsid w:val="006D7A7B"/>
    <w:rsid w:val="006F272B"/>
    <w:rsid w:val="0070549F"/>
    <w:rsid w:val="0071696E"/>
    <w:rsid w:val="00733DAE"/>
    <w:rsid w:val="00767935"/>
    <w:rsid w:val="00770553"/>
    <w:rsid w:val="00777B56"/>
    <w:rsid w:val="00785D71"/>
    <w:rsid w:val="007A06B8"/>
    <w:rsid w:val="007B5F16"/>
    <w:rsid w:val="007C1980"/>
    <w:rsid w:val="007D363E"/>
    <w:rsid w:val="007E36F6"/>
    <w:rsid w:val="007F02F9"/>
    <w:rsid w:val="00815DB0"/>
    <w:rsid w:val="00820358"/>
    <w:rsid w:val="00850F48"/>
    <w:rsid w:val="00861D71"/>
    <w:rsid w:val="00862365"/>
    <w:rsid w:val="00886359"/>
    <w:rsid w:val="008B22D7"/>
    <w:rsid w:val="008C3746"/>
    <w:rsid w:val="008D38D6"/>
    <w:rsid w:val="008E3F2F"/>
    <w:rsid w:val="008F0439"/>
    <w:rsid w:val="0091027E"/>
    <w:rsid w:val="00920F1F"/>
    <w:rsid w:val="00924A87"/>
    <w:rsid w:val="00933F8A"/>
    <w:rsid w:val="00934D15"/>
    <w:rsid w:val="00934E12"/>
    <w:rsid w:val="009573A3"/>
    <w:rsid w:val="00972C1F"/>
    <w:rsid w:val="00982CDA"/>
    <w:rsid w:val="00992C02"/>
    <w:rsid w:val="009A34FE"/>
    <w:rsid w:val="009A5EF9"/>
    <w:rsid w:val="009E3B03"/>
    <w:rsid w:val="00A140B4"/>
    <w:rsid w:val="00A175A8"/>
    <w:rsid w:val="00A61897"/>
    <w:rsid w:val="00A70935"/>
    <w:rsid w:val="00A776E7"/>
    <w:rsid w:val="00AC46D4"/>
    <w:rsid w:val="00AC6CF6"/>
    <w:rsid w:val="00AE3874"/>
    <w:rsid w:val="00AE6D34"/>
    <w:rsid w:val="00B132D9"/>
    <w:rsid w:val="00B36125"/>
    <w:rsid w:val="00B45B62"/>
    <w:rsid w:val="00B62D8E"/>
    <w:rsid w:val="00B71D5D"/>
    <w:rsid w:val="00B85803"/>
    <w:rsid w:val="00BA2B8E"/>
    <w:rsid w:val="00BA7C75"/>
    <w:rsid w:val="00BB432A"/>
    <w:rsid w:val="00BD4990"/>
    <w:rsid w:val="00BE25BF"/>
    <w:rsid w:val="00C35F3C"/>
    <w:rsid w:val="00C364A7"/>
    <w:rsid w:val="00C3675C"/>
    <w:rsid w:val="00C67728"/>
    <w:rsid w:val="00C7280A"/>
    <w:rsid w:val="00C866AC"/>
    <w:rsid w:val="00CD2494"/>
    <w:rsid w:val="00CF46FC"/>
    <w:rsid w:val="00D07C45"/>
    <w:rsid w:val="00D3081A"/>
    <w:rsid w:val="00D362EF"/>
    <w:rsid w:val="00D46FB7"/>
    <w:rsid w:val="00D5314E"/>
    <w:rsid w:val="00D612A7"/>
    <w:rsid w:val="00D623B3"/>
    <w:rsid w:val="00D660EF"/>
    <w:rsid w:val="00DC628D"/>
    <w:rsid w:val="00DF0A20"/>
    <w:rsid w:val="00E30C9E"/>
    <w:rsid w:val="00E32BAF"/>
    <w:rsid w:val="00E426D5"/>
    <w:rsid w:val="00E60CC4"/>
    <w:rsid w:val="00E83E3D"/>
    <w:rsid w:val="00E84F68"/>
    <w:rsid w:val="00E86379"/>
    <w:rsid w:val="00E9160D"/>
    <w:rsid w:val="00EA7780"/>
    <w:rsid w:val="00ED2D9A"/>
    <w:rsid w:val="00ED64ED"/>
    <w:rsid w:val="00EE78EE"/>
    <w:rsid w:val="00F02A9C"/>
    <w:rsid w:val="00F03D04"/>
    <w:rsid w:val="00F05B33"/>
    <w:rsid w:val="00F45274"/>
    <w:rsid w:val="00F5295B"/>
    <w:rsid w:val="00F708AE"/>
    <w:rsid w:val="00F765BA"/>
    <w:rsid w:val="00F76F67"/>
    <w:rsid w:val="00F872D8"/>
    <w:rsid w:val="00F87EF7"/>
    <w:rsid w:val="00F91D37"/>
    <w:rsid w:val="00FD665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3D04"/>
  </w:style>
  <w:style w:type="paragraph" w:styleId="Ttulo1">
    <w:name w:val="heading 1"/>
    <w:basedOn w:val="Normal"/>
    <w:next w:val="Normal"/>
    <w:link w:val="Ttulo1Car"/>
    <w:qFormat/>
    <w:rsid w:val="00F91D37"/>
    <w:pPr>
      <w:keepNext/>
      <w:widowControl w:val="0"/>
      <w:numPr>
        <w:numId w:val="21"/>
      </w:numPr>
      <w:tabs>
        <w:tab w:val="left" w:pos="0"/>
      </w:tabs>
      <w:suppressAutoHyphens/>
      <w:spacing w:after="0" w:line="240" w:lineRule="auto"/>
      <w:jc w:val="center"/>
      <w:outlineLvl w:val="0"/>
    </w:pPr>
    <w:rPr>
      <w:rFonts w:ascii="Arial" w:eastAsia="Times New Roman" w:hAnsi="Arial" w:cs="Times New Roman"/>
      <w:b/>
      <w:color w:val="000000"/>
      <w:sz w:val="40"/>
      <w:szCs w:val="20"/>
      <w:lang w:val="es-ES" w:eastAsia="es-ES"/>
    </w:rPr>
  </w:style>
  <w:style w:type="paragraph" w:styleId="Ttulo2">
    <w:name w:val="heading 2"/>
    <w:basedOn w:val="Normal"/>
    <w:next w:val="Normal"/>
    <w:link w:val="Ttulo2Car"/>
    <w:qFormat/>
    <w:rsid w:val="00F91D37"/>
    <w:pPr>
      <w:keepNext/>
      <w:widowControl w:val="0"/>
      <w:numPr>
        <w:ilvl w:val="1"/>
        <w:numId w:val="21"/>
      </w:numPr>
      <w:spacing w:after="0" w:line="240" w:lineRule="auto"/>
      <w:jc w:val="right"/>
      <w:outlineLvl w:val="1"/>
    </w:pPr>
    <w:rPr>
      <w:rFonts w:ascii="Arial" w:eastAsia="Times New Roman" w:hAnsi="Arial" w:cs="Times New Roman"/>
      <w:b/>
      <w:color w:val="000000"/>
      <w:sz w:val="18"/>
      <w:szCs w:val="20"/>
      <w:lang w:val="es-ES" w:eastAsia="es-ES"/>
    </w:rPr>
  </w:style>
  <w:style w:type="paragraph" w:styleId="Ttulo3">
    <w:name w:val="heading 3"/>
    <w:basedOn w:val="Normal"/>
    <w:next w:val="Normal"/>
    <w:link w:val="Ttulo3Car"/>
    <w:qFormat/>
    <w:rsid w:val="00F91D37"/>
    <w:pPr>
      <w:keepNext/>
      <w:widowControl w:val="0"/>
      <w:numPr>
        <w:ilvl w:val="2"/>
        <w:numId w:val="21"/>
      </w:numPr>
      <w:spacing w:after="0" w:line="240" w:lineRule="auto"/>
      <w:jc w:val="center"/>
      <w:outlineLvl w:val="2"/>
    </w:pPr>
    <w:rPr>
      <w:rFonts w:ascii="Arial" w:eastAsia="Times New Roman" w:hAnsi="Arial" w:cs="Times New Roman"/>
      <w:b/>
      <w:color w:val="000000"/>
      <w:sz w:val="18"/>
      <w:szCs w:val="20"/>
      <w:lang w:val="es-CO" w:eastAsia="es-ES"/>
    </w:rPr>
  </w:style>
  <w:style w:type="paragraph" w:styleId="Ttulo4">
    <w:name w:val="heading 4"/>
    <w:basedOn w:val="Normal"/>
    <w:next w:val="Normal"/>
    <w:link w:val="Ttulo4Car"/>
    <w:qFormat/>
    <w:rsid w:val="00F91D37"/>
    <w:pPr>
      <w:keepNext/>
      <w:numPr>
        <w:ilvl w:val="3"/>
        <w:numId w:val="21"/>
      </w:numPr>
      <w:tabs>
        <w:tab w:val="left" w:pos="0"/>
        <w:tab w:val="left" w:pos="180"/>
      </w:tabs>
      <w:spacing w:after="0" w:line="240" w:lineRule="auto"/>
      <w:jc w:val="both"/>
      <w:outlineLvl w:val="3"/>
    </w:pPr>
    <w:rPr>
      <w:rFonts w:ascii="Formata LightCondensed" w:eastAsia="Times New Roman" w:hAnsi="Formata LightCondensed" w:cs="Times New Roman"/>
      <w:b/>
      <w:szCs w:val="20"/>
      <w:lang w:eastAsia="es-ES"/>
    </w:rPr>
  </w:style>
  <w:style w:type="paragraph" w:styleId="Ttulo5">
    <w:name w:val="heading 5"/>
    <w:basedOn w:val="Normal"/>
    <w:next w:val="Normal"/>
    <w:link w:val="Ttulo5Car"/>
    <w:qFormat/>
    <w:rsid w:val="00F91D37"/>
    <w:pPr>
      <w:keepNext/>
      <w:widowControl w:val="0"/>
      <w:numPr>
        <w:ilvl w:val="4"/>
        <w:numId w:val="21"/>
      </w:numPr>
      <w:spacing w:after="0" w:line="240" w:lineRule="auto"/>
      <w:jc w:val="both"/>
      <w:outlineLvl w:val="4"/>
    </w:pPr>
    <w:rPr>
      <w:rFonts w:ascii="Arial" w:eastAsia="Times New Roman" w:hAnsi="Arial" w:cs="Times New Roman"/>
      <w:b/>
      <w:color w:val="000000"/>
      <w:szCs w:val="20"/>
      <w:lang w:val="es-CO" w:eastAsia="es-ES"/>
    </w:rPr>
  </w:style>
  <w:style w:type="paragraph" w:styleId="Ttulo6">
    <w:name w:val="heading 6"/>
    <w:basedOn w:val="Normal"/>
    <w:next w:val="Normal"/>
    <w:link w:val="Ttulo6Car"/>
    <w:qFormat/>
    <w:rsid w:val="00F91D37"/>
    <w:pPr>
      <w:numPr>
        <w:ilvl w:val="5"/>
        <w:numId w:val="21"/>
      </w:numPr>
      <w:spacing w:before="240" w:after="60" w:line="240" w:lineRule="auto"/>
      <w:outlineLvl w:val="5"/>
    </w:pPr>
    <w:rPr>
      <w:rFonts w:ascii="Times New Roman" w:eastAsia="Times New Roman" w:hAnsi="Times New Roman" w:cs="Times New Roman"/>
      <w:b/>
      <w:bCs/>
      <w:lang w:val="es-ES" w:eastAsia="es-ES"/>
    </w:rPr>
  </w:style>
  <w:style w:type="paragraph" w:styleId="Ttulo7">
    <w:name w:val="heading 7"/>
    <w:basedOn w:val="Normal"/>
    <w:next w:val="Normal"/>
    <w:link w:val="Ttulo7Car"/>
    <w:qFormat/>
    <w:rsid w:val="00F91D37"/>
    <w:pPr>
      <w:numPr>
        <w:ilvl w:val="6"/>
        <w:numId w:val="21"/>
      </w:numPr>
      <w:spacing w:before="240" w:after="60" w:line="240" w:lineRule="auto"/>
      <w:outlineLvl w:val="6"/>
    </w:pPr>
    <w:rPr>
      <w:rFonts w:ascii="Times New Roman" w:eastAsia="Times New Roman" w:hAnsi="Times New Roman" w:cs="Times New Roman"/>
      <w:sz w:val="24"/>
      <w:szCs w:val="24"/>
      <w:lang w:val="es-ES" w:eastAsia="es-ES"/>
    </w:rPr>
  </w:style>
  <w:style w:type="paragraph" w:styleId="Ttulo8">
    <w:name w:val="heading 8"/>
    <w:basedOn w:val="Normal"/>
    <w:next w:val="Normal"/>
    <w:link w:val="Ttulo8Car"/>
    <w:qFormat/>
    <w:rsid w:val="00F91D37"/>
    <w:pPr>
      <w:numPr>
        <w:ilvl w:val="7"/>
        <w:numId w:val="21"/>
      </w:numPr>
      <w:spacing w:before="240" w:after="60" w:line="240" w:lineRule="auto"/>
      <w:outlineLvl w:val="7"/>
    </w:pPr>
    <w:rPr>
      <w:rFonts w:ascii="Times New Roman" w:eastAsia="Times New Roman" w:hAnsi="Times New Roman" w:cs="Times New Roman"/>
      <w:i/>
      <w:iCs/>
      <w:sz w:val="24"/>
      <w:szCs w:val="24"/>
      <w:lang w:val="es-ES" w:eastAsia="es-ES"/>
    </w:rPr>
  </w:style>
  <w:style w:type="paragraph" w:styleId="Ttulo9">
    <w:name w:val="heading 9"/>
    <w:basedOn w:val="Normal"/>
    <w:next w:val="Normal"/>
    <w:link w:val="Ttulo9Car"/>
    <w:qFormat/>
    <w:rsid w:val="00F91D37"/>
    <w:pPr>
      <w:numPr>
        <w:ilvl w:val="8"/>
        <w:numId w:val="21"/>
      </w:numPr>
      <w:spacing w:before="240" w:after="60" w:line="240" w:lineRule="auto"/>
      <w:outlineLvl w:val="8"/>
    </w:pPr>
    <w:rPr>
      <w:rFonts w:ascii="Arial" w:eastAsia="Times New Roman" w:hAnsi="Arial" w:cs="Arial"/>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A70935"/>
  </w:style>
  <w:style w:type="paragraph" w:styleId="NormalWeb">
    <w:name w:val="Normal (Web)"/>
    <w:basedOn w:val="Normal"/>
    <w:uiPriority w:val="99"/>
    <w:unhideWhenUsed/>
    <w:rsid w:val="00D612A7"/>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Textoennegrita">
    <w:name w:val="Strong"/>
    <w:basedOn w:val="Fuentedeprrafopredeter"/>
    <w:qFormat/>
    <w:rsid w:val="00D612A7"/>
    <w:rPr>
      <w:b/>
      <w:bCs/>
    </w:rPr>
  </w:style>
  <w:style w:type="character" w:styleId="Refdecomentario">
    <w:name w:val="annotation reference"/>
    <w:basedOn w:val="Fuentedeprrafopredeter"/>
    <w:uiPriority w:val="99"/>
    <w:semiHidden/>
    <w:unhideWhenUsed/>
    <w:rsid w:val="00C364A7"/>
    <w:rPr>
      <w:sz w:val="16"/>
      <w:szCs w:val="16"/>
    </w:rPr>
  </w:style>
  <w:style w:type="paragraph" w:styleId="Textocomentario">
    <w:name w:val="annotation text"/>
    <w:basedOn w:val="Normal"/>
    <w:link w:val="TextocomentarioCar"/>
    <w:uiPriority w:val="99"/>
    <w:semiHidden/>
    <w:unhideWhenUsed/>
    <w:rsid w:val="00C364A7"/>
    <w:pPr>
      <w:spacing w:line="240" w:lineRule="auto"/>
    </w:pPr>
    <w:rPr>
      <w:rFonts w:eastAsiaTheme="minorEastAsia"/>
      <w:sz w:val="20"/>
      <w:szCs w:val="20"/>
      <w:lang w:eastAsia="es-MX"/>
    </w:rPr>
  </w:style>
  <w:style w:type="character" w:customStyle="1" w:styleId="TextocomentarioCar">
    <w:name w:val="Texto comentario Car"/>
    <w:basedOn w:val="Fuentedeprrafopredeter"/>
    <w:link w:val="Textocomentario"/>
    <w:uiPriority w:val="99"/>
    <w:semiHidden/>
    <w:rsid w:val="00C364A7"/>
    <w:rPr>
      <w:rFonts w:eastAsiaTheme="minorEastAsia"/>
      <w:sz w:val="20"/>
      <w:szCs w:val="20"/>
      <w:lang w:eastAsia="es-MX"/>
    </w:rPr>
  </w:style>
  <w:style w:type="paragraph" w:styleId="Textodeglobo">
    <w:name w:val="Balloon Text"/>
    <w:basedOn w:val="Normal"/>
    <w:link w:val="TextodegloboCar"/>
    <w:uiPriority w:val="99"/>
    <w:semiHidden/>
    <w:unhideWhenUsed/>
    <w:rsid w:val="00C364A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364A7"/>
    <w:rPr>
      <w:rFonts w:ascii="Tahoma" w:hAnsi="Tahoma" w:cs="Tahoma"/>
      <w:sz w:val="16"/>
      <w:szCs w:val="16"/>
    </w:rPr>
  </w:style>
  <w:style w:type="paragraph" w:styleId="Prrafodelista">
    <w:name w:val="List Paragraph"/>
    <w:basedOn w:val="Normal"/>
    <w:uiPriority w:val="34"/>
    <w:qFormat/>
    <w:rsid w:val="00924A87"/>
    <w:pPr>
      <w:ind w:left="720"/>
      <w:contextualSpacing/>
    </w:pPr>
  </w:style>
  <w:style w:type="character" w:styleId="Hipervnculo">
    <w:name w:val="Hyperlink"/>
    <w:basedOn w:val="Fuentedeprrafopredeter"/>
    <w:uiPriority w:val="99"/>
    <w:unhideWhenUsed/>
    <w:rsid w:val="00777B56"/>
    <w:rPr>
      <w:color w:val="0000FF" w:themeColor="hyperlink"/>
      <w:u w:val="single"/>
    </w:rPr>
  </w:style>
  <w:style w:type="paragraph" w:styleId="Textoindependiente">
    <w:name w:val="Body Text"/>
    <w:basedOn w:val="Normal"/>
    <w:link w:val="TextoindependienteCar"/>
    <w:rsid w:val="00920F1F"/>
    <w:pPr>
      <w:spacing w:after="0" w:line="360" w:lineRule="auto"/>
      <w:jc w:val="both"/>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920F1F"/>
    <w:rPr>
      <w:rFonts w:ascii="Times New Roman" w:eastAsia="Times New Roman" w:hAnsi="Times New Roman" w:cs="Times New Roman"/>
      <w:sz w:val="24"/>
      <w:szCs w:val="24"/>
      <w:lang w:val="es-ES" w:eastAsia="es-ES"/>
    </w:rPr>
  </w:style>
  <w:style w:type="paragraph" w:customStyle="1" w:styleId="Style-1">
    <w:name w:val="Style-1"/>
    <w:rsid w:val="00933F8A"/>
    <w:pPr>
      <w:spacing w:after="0" w:line="240" w:lineRule="auto"/>
    </w:pPr>
    <w:rPr>
      <w:rFonts w:ascii="Times New Roman" w:eastAsia="Times New Roman" w:hAnsi="Times New Roman" w:cs="Times New Roman"/>
      <w:sz w:val="20"/>
      <w:szCs w:val="20"/>
      <w:lang w:val="es-CO" w:eastAsia="es-CO"/>
    </w:rPr>
  </w:style>
  <w:style w:type="character" w:customStyle="1" w:styleId="apple-style-span">
    <w:name w:val="apple-style-span"/>
    <w:basedOn w:val="Fuentedeprrafopredeter"/>
    <w:rsid w:val="00E60CC4"/>
    <w:rPr>
      <w:rFonts w:cs="Times New Roman"/>
    </w:rPr>
  </w:style>
  <w:style w:type="character" w:customStyle="1" w:styleId="Ttulo1Car">
    <w:name w:val="Título 1 Car"/>
    <w:basedOn w:val="Fuentedeprrafopredeter"/>
    <w:link w:val="Ttulo1"/>
    <w:rsid w:val="00F91D37"/>
    <w:rPr>
      <w:rFonts w:ascii="Arial" w:eastAsia="Times New Roman" w:hAnsi="Arial" w:cs="Times New Roman"/>
      <w:b/>
      <w:color w:val="000000"/>
      <w:sz w:val="40"/>
      <w:szCs w:val="20"/>
      <w:lang w:val="es-ES" w:eastAsia="es-ES"/>
    </w:rPr>
  </w:style>
  <w:style w:type="character" w:customStyle="1" w:styleId="Ttulo2Car">
    <w:name w:val="Título 2 Car"/>
    <w:basedOn w:val="Fuentedeprrafopredeter"/>
    <w:link w:val="Ttulo2"/>
    <w:rsid w:val="00F91D37"/>
    <w:rPr>
      <w:rFonts w:ascii="Arial" w:eastAsia="Times New Roman" w:hAnsi="Arial" w:cs="Times New Roman"/>
      <w:b/>
      <w:color w:val="000000"/>
      <w:sz w:val="18"/>
      <w:szCs w:val="20"/>
      <w:lang w:val="es-ES" w:eastAsia="es-ES"/>
    </w:rPr>
  </w:style>
  <w:style w:type="character" w:customStyle="1" w:styleId="Ttulo3Car">
    <w:name w:val="Título 3 Car"/>
    <w:basedOn w:val="Fuentedeprrafopredeter"/>
    <w:link w:val="Ttulo3"/>
    <w:rsid w:val="00F91D37"/>
    <w:rPr>
      <w:rFonts w:ascii="Arial" w:eastAsia="Times New Roman" w:hAnsi="Arial" w:cs="Times New Roman"/>
      <w:b/>
      <w:color w:val="000000"/>
      <w:sz w:val="18"/>
      <w:szCs w:val="20"/>
      <w:lang w:val="es-CO" w:eastAsia="es-ES"/>
    </w:rPr>
  </w:style>
  <w:style w:type="character" w:customStyle="1" w:styleId="Ttulo4Car">
    <w:name w:val="Título 4 Car"/>
    <w:basedOn w:val="Fuentedeprrafopredeter"/>
    <w:link w:val="Ttulo4"/>
    <w:rsid w:val="00F91D37"/>
    <w:rPr>
      <w:rFonts w:ascii="Formata LightCondensed" w:eastAsia="Times New Roman" w:hAnsi="Formata LightCondensed" w:cs="Times New Roman"/>
      <w:b/>
      <w:szCs w:val="20"/>
      <w:lang w:eastAsia="es-ES"/>
    </w:rPr>
  </w:style>
  <w:style w:type="character" w:customStyle="1" w:styleId="Ttulo5Car">
    <w:name w:val="Título 5 Car"/>
    <w:basedOn w:val="Fuentedeprrafopredeter"/>
    <w:link w:val="Ttulo5"/>
    <w:rsid w:val="00F91D37"/>
    <w:rPr>
      <w:rFonts w:ascii="Arial" w:eastAsia="Times New Roman" w:hAnsi="Arial" w:cs="Times New Roman"/>
      <w:b/>
      <w:color w:val="000000"/>
      <w:szCs w:val="20"/>
      <w:lang w:val="es-CO" w:eastAsia="es-ES"/>
    </w:rPr>
  </w:style>
  <w:style w:type="character" w:customStyle="1" w:styleId="Ttulo6Car">
    <w:name w:val="Título 6 Car"/>
    <w:basedOn w:val="Fuentedeprrafopredeter"/>
    <w:link w:val="Ttulo6"/>
    <w:rsid w:val="00F91D37"/>
    <w:rPr>
      <w:rFonts w:ascii="Times New Roman" w:eastAsia="Times New Roman" w:hAnsi="Times New Roman" w:cs="Times New Roman"/>
      <w:b/>
      <w:bCs/>
      <w:lang w:val="es-ES" w:eastAsia="es-ES"/>
    </w:rPr>
  </w:style>
  <w:style w:type="character" w:customStyle="1" w:styleId="Ttulo7Car">
    <w:name w:val="Título 7 Car"/>
    <w:basedOn w:val="Fuentedeprrafopredeter"/>
    <w:link w:val="Ttulo7"/>
    <w:rsid w:val="00F91D37"/>
    <w:rPr>
      <w:rFonts w:ascii="Times New Roman" w:eastAsia="Times New Roman" w:hAnsi="Times New Roman" w:cs="Times New Roman"/>
      <w:sz w:val="24"/>
      <w:szCs w:val="24"/>
      <w:lang w:val="es-ES" w:eastAsia="es-ES"/>
    </w:rPr>
  </w:style>
  <w:style w:type="character" w:customStyle="1" w:styleId="Ttulo8Car">
    <w:name w:val="Título 8 Car"/>
    <w:basedOn w:val="Fuentedeprrafopredeter"/>
    <w:link w:val="Ttulo8"/>
    <w:rsid w:val="00F91D37"/>
    <w:rPr>
      <w:rFonts w:ascii="Times New Roman" w:eastAsia="Times New Roman" w:hAnsi="Times New Roman" w:cs="Times New Roman"/>
      <w:i/>
      <w:iCs/>
      <w:sz w:val="24"/>
      <w:szCs w:val="24"/>
      <w:lang w:val="es-ES" w:eastAsia="es-ES"/>
    </w:rPr>
  </w:style>
  <w:style w:type="character" w:customStyle="1" w:styleId="Ttulo9Car">
    <w:name w:val="Título 9 Car"/>
    <w:basedOn w:val="Fuentedeprrafopredeter"/>
    <w:link w:val="Ttulo9"/>
    <w:rsid w:val="00F91D37"/>
    <w:rPr>
      <w:rFonts w:ascii="Arial" w:eastAsia="Times New Roman" w:hAnsi="Arial" w:cs="Arial"/>
      <w:lang w:val="es-ES" w:eastAsia="es-ES"/>
    </w:rPr>
  </w:style>
  <w:style w:type="paragraph" w:styleId="Sinespaciado">
    <w:name w:val="No Spacing"/>
    <w:uiPriority w:val="1"/>
    <w:qFormat/>
    <w:rsid w:val="007D363E"/>
    <w:pPr>
      <w:spacing w:after="0" w:line="240" w:lineRule="auto"/>
    </w:pPr>
  </w:style>
</w:styles>
</file>

<file path=word/webSettings.xml><?xml version="1.0" encoding="utf-8"?>
<w:webSettings xmlns:r="http://schemas.openxmlformats.org/officeDocument/2006/relationships" xmlns:w="http://schemas.openxmlformats.org/wordprocessingml/2006/main">
  <w:divs>
    <w:div w:id="314139848">
      <w:bodyDiv w:val="1"/>
      <w:marLeft w:val="0"/>
      <w:marRight w:val="0"/>
      <w:marTop w:val="0"/>
      <w:marBottom w:val="0"/>
      <w:divBdr>
        <w:top w:val="none" w:sz="0" w:space="0" w:color="auto"/>
        <w:left w:val="none" w:sz="0" w:space="0" w:color="auto"/>
        <w:bottom w:val="none" w:sz="0" w:space="0" w:color="auto"/>
        <w:right w:val="none" w:sz="0" w:space="0" w:color="auto"/>
      </w:divBdr>
    </w:div>
    <w:div w:id="979849698">
      <w:bodyDiv w:val="1"/>
      <w:marLeft w:val="0"/>
      <w:marRight w:val="0"/>
      <w:marTop w:val="0"/>
      <w:marBottom w:val="0"/>
      <w:divBdr>
        <w:top w:val="none" w:sz="0" w:space="0" w:color="auto"/>
        <w:left w:val="none" w:sz="0" w:space="0" w:color="auto"/>
        <w:bottom w:val="none" w:sz="0" w:space="0" w:color="auto"/>
        <w:right w:val="none" w:sz="0" w:space="0" w:color="auto"/>
      </w:divBdr>
    </w:div>
    <w:div w:id="1201942019">
      <w:bodyDiv w:val="1"/>
      <w:marLeft w:val="0"/>
      <w:marRight w:val="0"/>
      <w:marTop w:val="0"/>
      <w:marBottom w:val="0"/>
      <w:divBdr>
        <w:top w:val="none" w:sz="0" w:space="0" w:color="auto"/>
        <w:left w:val="none" w:sz="0" w:space="0" w:color="auto"/>
        <w:bottom w:val="none" w:sz="0" w:space="0" w:color="auto"/>
        <w:right w:val="none" w:sz="0" w:space="0" w:color="auto"/>
      </w:divBdr>
    </w:div>
    <w:div w:id="1309945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lo.cl/scielo.php?script=sci_arttext&amp;pid=S003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www.alcaldiabogota.gov.co/sisjur/normas/Norma1.jsp?i=34495"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www.sld.cu/galerias/pdf/sitios/gericuba/modulo3.pdf" TargetMode="External"/><Relationship Id="rId5" Type="http://schemas.openxmlformats.org/officeDocument/2006/relationships/webSettings" Target="webSettings.xml"/><Relationship Id="rId10" Type="http://schemas.openxmlformats.org/officeDocument/2006/relationships/hyperlink" Target="http://www.who.int/mediacentre/factsheets/fs317/es/" TargetMode="External"/><Relationship Id="rId4" Type="http://schemas.openxmlformats.org/officeDocument/2006/relationships/settings" Target="settings.xml"/><Relationship Id="rId9" Type="http://schemas.openxmlformats.org/officeDocument/2006/relationships/hyperlink" Target="http://www.minsalud.gov.co/proteccionsocial/Documents/Situaci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Ram06</b:Tag>
    <b:SourceType>JournalArticle</b:SourceType>
    <b:Guid>{AECA1D8A-668D-4F46-9866-402629D165E7}</b:Guid>
    <b:Author>
      <b:Author>
        <b:NameList>
          <b:Person>
            <b:Last>Ramírez</b:Last>
            <b:First>J</b:First>
            <b:Middle>F</b:Middle>
          </b:Person>
          <b:Person>
            <b:Last>Viana</b:Last>
            <b:First>B</b:First>
          </b:Person>
          <b:Person>
            <b:Last>Gómez</b:Last>
            <b:First>J</b:First>
          </b:Person>
          <b:Person>
            <b:Last>Silva</b:Last>
            <b:First>M</b:First>
          </b:Person>
          <b:Person>
            <b:Last>Núñez</b:Last>
            <b:First>V</b:First>
          </b:Person>
          <b:Person>
            <b:Last>Lancho</b:Last>
            <b:First>J</b:First>
          </b:Person>
        </b:NameList>
      </b:Author>
    </b:Author>
    <b:Title>Características antro-pométricas, de velocidad de movimiento y equilibrio dinámico en mayores físicamente activos</b:Title>
    <b:JournalName>Arch Med Deporte</b:JournalName>
    <b:Year>2006</b:Year>
    <b:Pages>1–14</b:Pages>
    <b:RefOrder>1</b:RefOrder>
  </b:Source>
  <b:Source>
    <b:Tag>Nel94</b:Tag>
    <b:SourceType>JournalArticle</b:SourceType>
    <b:Guid>{2578F2E8-0477-4108-938B-5AA0E72A122A}</b:Guid>
    <b:Author>
      <b:Author>
        <b:NameList>
          <b:Person>
            <b:Last>Nelson</b:Last>
            <b:First>M</b:First>
            <b:Middle>E</b:Middle>
          </b:Person>
          <b:Person>
            <b:Last>Fiatarone</b:Last>
            <b:First>M</b:First>
            <b:Middle>A</b:Middle>
          </b:Person>
          <b:Person>
            <b:Last>Morganti</b:Last>
            <b:First>C</b:First>
            <b:Middle>M</b:Middle>
          </b:Person>
          <b:Person>
            <b:Last>Trice</b:Last>
            <b:First>I</b:First>
          </b:Person>
          <b:Person>
            <b:Last>Greenberg</b:Last>
            <b:First>R</b:First>
            <b:Middle>A</b:Middle>
          </b:Person>
          <b:Person>
            <b:Last>Evans</b:Last>
            <b:First>W</b:First>
            <b:Middle>J</b:Middle>
          </b:Person>
        </b:NameList>
      </b:Author>
    </b:Author>
    <b:Title>Effects of high-intensity strength training on multiple risk factors for osteoporotic fractures. A randomized controlled trial</b:Title>
    <b:JournalName>JAMA</b:JournalName>
    <b:Year>1994</b:Year>
    <b:Pages>1909–1914</b:Pages>
    <b:RefOrder>2</b:RefOrder>
  </b:Source>
</b:Sources>
</file>

<file path=customXml/itemProps1.xml><?xml version="1.0" encoding="utf-8"?>
<ds:datastoreItem xmlns:ds="http://schemas.openxmlformats.org/officeDocument/2006/customXml" ds:itemID="{7EA29D70-5FC4-472A-9EAF-D81F82994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6005</Words>
  <Characters>33032</Characters>
  <Application>Microsoft Office Word</Application>
  <DocSecurity>0</DocSecurity>
  <Lines>275</Lines>
  <Paragraphs>77</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38960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TOSHIBA</dc:creator>
  <cp:lastModifiedBy>Doc12UnidInves</cp:lastModifiedBy>
  <cp:revision>2</cp:revision>
  <dcterms:created xsi:type="dcterms:W3CDTF">2014-08-26T21:27:00Z</dcterms:created>
  <dcterms:modified xsi:type="dcterms:W3CDTF">2014-08-26T21:27:00Z</dcterms:modified>
</cp:coreProperties>
</file>