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jc w:val="center"/>
        <w:rPr>
          <w:b w:val="1"/>
        </w:rPr>
      </w:pPr>
      <w:bookmarkStart w:colFirst="0" w:colLast="0" w:name="_heading=h.sdxsxpdprcxb" w:id="1"/>
      <w:bookmarkEnd w:id="1"/>
      <w:r w:rsidDel="00000000" w:rsidR="00000000" w:rsidRPr="00000000">
        <w:rPr>
          <w:rtl w:val="0"/>
        </w:rPr>
      </w:r>
    </w:p>
    <w:p w:rsidR="00000000" w:rsidDel="00000000" w:rsidP="00000000" w:rsidRDefault="00000000" w:rsidRPr="00000000" w14:paraId="00000003">
      <w:pPr>
        <w:jc w:val="center"/>
        <w:rPr>
          <w:b w:val="1"/>
        </w:rPr>
      </w:pPr>
      <w:bookmarkStart w:colFirst="0" w:colLast="0" w:name="_heading=h.iqwsnwtlc2df" w:id="2"/>
      <w:bookmarkEnd w:id="2"/>
      <w:r w:rsidDel="00000000" w:rsidR="00000000" w:rsidRPr="00000000">
        <w:rPr>
          <w:b w:val="1"/>
          <w:rtl w:val="0"/>
        </w:rPr>
        <w:t xml:space="preserve">DECIMOQUINTA CONVOCATORIA PARA EL FOMENTO DE LA INVESTIGACIÓN Y LA INNOVACIÓN 2020</w:t>
      </w:r>
    </w:p>
    <w:tbl>
      <w:tblPr>
        <w:tblStyle w:val="Table1"/>
        <w:tblW w:w="14983.000000000002" w:type="dxa"/>
        <w:jc w:val="left"/>
        <w:tblInd w:w="0.0" w:type="dxa"/>
        <w:tblLayout w:type="fixed"/>
        <w:tblLook w:val="0400"/>
      </w:tblPr>
      <w:tblGrid>
        <w:gridCol w:w="7491"/>
        <w:gridCol w:w="7492"/>
        <w:tblGridChange w:id="0">
          <w:tblGrid>
            <w:gridCol w:w="7491"/>
            <w:gridCol w:w="7492"/>
          </w:tblGrid>
        </w:tblGridChange>
      </w:tblGrid>
      <w:tr>
        <w:tc>
          <w:tcPr>
            <w:gridSpan w:val="2"/>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04">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Título del proyecto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6">
            <w:pPr>
              <w:spacing w:after="0" w:line="240" w:lineRule="auto"/>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INFLUENCIA DEL EJERCICIO FÍSICO AGUDO SOBRE COGNICIÓN, ESTADO DE ÁNIMO Y MARCADORES NEUROTRÓFICOS EN PLASMA IGF-1 Y IGFBP EN ADULTOS MAYORES DE LA CIUDAD DE BOGOTÁ (FASE 2)</w:t>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Campo de acción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0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Transdisciplinariedad - Aporte al PIM</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Salud Pública: ambientes y vida saludable</w:t>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00B">
            <w:pPr>
              <w:ind w:left="160" w:firstLine="0"/>
              <w:jc w:val="both"/>
              <w:rPr>
                <w:rFonts w:ascii="Arial" w:cs="Arial" w:eastAsia="Arial" w:hAnsi="Arial"/>
                <w:b w:val="1"/>
                <w:color w:val="222222"/>
                <w:sz w:val="24"/>
                <w:szCs w:val="24"/>
              </w:rPr>
            </w:pPr>
            <w:r w:rsidDel="00000000" w:rsidR="00000000" w:rsidRPr="00000000">
              <w:rPr>
                <w:rFonts w:ascii="Arial" w:cs="Arial" w:eastAsia="Arial" w:hAnsi="Arial"/>
                <w:sz w:val="20"/>
                <w:szCs w:val="20"/>
                <w:rtl w:val="0"/>
              </w:rPr>
              <w:t xml:space="preserve">El presente proyecto se vincula con la línea de acción 3 del Plan multicampus 2016-2019 titulada: Proyección social e Investigación pertinentes, la cual busca centrar los procesos investigativos y articularlos con procesos de proyección social de la USTA con la finalidad de que los mismos tengan un impacto en el sector investigativo nacional e internacional. </w:t>
            </w:r>
            <w:r w:rsidDel="00000000" w:rsidR="00000000" w:rsidRPr="00000000">
              <w:rPr>
                <w:rtl w:val="0"/>
              </w:rPr>
            </w:r>
          </w:p>
        </w:tc>
      </w:tr>
      <w:tr>
        <w:tc>
          <w:tcPr>
            <w:gridSpan w:val="2"/>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C">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Articulación con funciones sustantivas y el sector social y productivo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concordancia con el Proyecto Integral Multicampus (PIM) 2016 - 2019, el presente trabajo se articula con las siguientes funciones sustantivas que derivan del mismo cooperación académica entre investigadores lo cual en el modelo actual de medición de grupos e investigadores de COLCIENCIAS, tiene un peso importante que permite el crecimiento del grupo de investigación. Establecer convenios que faciliten la cooperación entre instituciones que conlleva a la articulación del grupo de investigación GICAEDS con grupos pares que puedan estar interesados en una temática en común a fin de gestar alianzas de impacto donde a nivel productivo se optimice la generación y divulgación de nuevo conocimiento, por lo que se enlaza con el postulado donde se favorece las publicaciones y coautorías con entidades nacionales e internacionales. </w:t>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0">
            <w:pPr>
              <w:spacing w:after="0"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11">
            <w:pPr>
              <w:spacing w:after="0"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Línea de investigación en la que se inscribe el proyecto</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2">
            <w:pPr>
              <w:spacing w:after="0" w:line="240" w:lineRule="auto"/>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Grupo GICAEDS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Fisiología muscular y entrenamiento deportivo.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(Innovaciones en estudios del entrenamiento deportivo, la fisiología y el ejercicio físico para la salud).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276" w:lineRule="auto"/>
              <w:rPr>
                <w:rFonts w:ascii="Helvetica Neue" w:cs="Helvetica Neue" w:eastAsia="Helvetica Neue" w:hAnsi="Helvetica Neue"/>
                <w:color w:val="222222"/>
                <w:sz w:val="24"/>
                <w:szCs w:val="24"/>
              </w:rPr>
            </w:pPr>
            <w:r w:rsidDel="00000000" w:rsidR="00000000" w:rsidRPr="00000000">
              <w:rPr>
                <w:rtl w:val="0"/>
              </w:rPr>
            </w:r>
          </w:p>
        </w:tc>
      </w:tr>
    </w:tbl>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14733.000000000002" w:type="dxa"/>
        <w:jc w:val="left"/>
        <w:tblInd w:w="0.0" w:type="dxa"/>
        <w:tblLayout w:type="fixed"/>
        <w:tblLook w:val="0400"/>
      </w:tblPr>
      <w:tblGrid>
        <w:gridCol w:w="4246"/>
        <w:gridCol w:w="3273"/>
        <w:gridCol w:w="2652"/>
        <w:gridCol w:w="4562"/>
        <w:tblGridChange w:id="0">
          <w:tblGrid>
            <w:gridCol w:w="4246"/>
            <w:gridCol w:w="3273"/>
            <w:gridCol w:w="2652"/>
            <w:gridCol w:w="4562"/>
          </w:tblGrid>
        </w:tblGridChange>
      </w:tblGrid>
      <w:tr>
        <w:trPr>
          <w:trHeight w:val="500" w:hRule="atLeast"/>
        </w:trP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7">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Investigador principal</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B">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Isabel Adriana Sanchez Rojas</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C">
            <w:pPr>
              <w:jc w:val="center"/>
              <w:rPr>
                <w:rFonts w:ascii="Arial" w:cs="Arial" w:eastAsia="Arial" w:hAnsi="Arial"/>
                <w:color w:val="222222"/>
                <w:sz w:val="16"/>
                <w:szCs w:val="16"/>
              </w:rPr>
            </w:pPr>
            <w:hyperlink r:id="rId7">
              <w:r w:rsidDel="00000000" w:rsidR="00000000" w:rsidRPr="00000000">
                <w:rPr>
                  <w:rFonts w:ascii="Arial" w:cs="Arial" w:eastAsia="Arial" w:hAnsi="Arial"/>
                  <w:b w:val="1"/>
                  <w:color w:val="1155cc"/>
                  <w:sz w:val="16"/>
                  <w:szCs w:val="16"/>
                  <w:u w:val="single"/>
                  <w:rtl w:val="0"/>
                </w:rPr>
                <w:t xml:space="preserve">http://scienti.colciencias.gov.co:8081/cvlac/visualizador/generarCurriculoCv.do?cod_rh=0001168657</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D">
            <w:pPr>
              <w:jc w:val="center"/>
              <w:rPr>
                <w:rFonts w:ascii="Arial" w:cs="Arial" w:eastAsia="Arial" w:hAnsi="Arial"/>
                <w:color w:val="222222"/>
                <w:sz w:val="16"/>
                <w:szCs w:val="16"/>
              </w:rPr>
            </w:pPr>
            <w:hyperlink r:id="rId8">
              <w:r w:rsidDel="00000000" w:rsidR="00000000" w:rsidRPr="00000000">
                <w:rPr>
                  <w:rFonts w:ascii="Arial" w:cs="Arial" w:eastAsia="Arial" w:hAnsi="Arial"/>
                  <w:b w:val="1"/>
                  <w:color w:val="1155cc"/>
                  <w:sz w:val="16"/>
                  <w:szCs w:val="16"/>
                  <w:u w:val="single"/>
                  <w:rtl w:val="0"/>
                </w:rPr>
                <w:t xml:space="preserve">https://orcid.org/0000-0002-5545-0127</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E">
            <w:pPr>
              <w:jc w:val="center"/>
              <w:rPr>
                <w:rFonts w:ascii="Arial" w:cs="Arial" w:eastAsia="Arial" w:hAnsi="Arial"/>
                <w:color w:val="222222"/>
                <w:sz w:val="16"/>
                <w:szCs w:val="16"/>
              </w:rPr>
            </w:pPr>
            <w:hyperlink r:id="rId9">
              <w:r w:rsidDel="00000000" w:rsidR="00000000" w:rsidRPr="00000000">
                <w:rPr>
                  <w:rFonts w:ascii="Arial" w:cs="Arial" w:eastAsia="Arial" w:hAnsi="Arial"/>
                  <w:b w:val="1"/>
                  <w:color w:val="1155cc"/>
                  <w:sz w:val="16"/>
                  <w:szCs w:val="16"/>
                  <w:u w:val="single"/>
                  <w:rtl w:val="0"/>
                </w:rPr>
                <w:t xml:space="preserve">https://scholar.google.es/citations?user=VNE1BmgAAAAJ&amp;hl=es</w:t>
              </w:r>
            </w:hyperlink>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1F">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0">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1">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0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3">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Salud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4">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5">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6">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GICAEDS</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7">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B">
            <w:pPr>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Felipe Ricardo Garavito Peña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C">
            <w:pPr>
              <w:jc w:val="center"/>
              <w:rPr>
                <w:rFonts w:ascii="Arial" w:cs="Arial" w:eastAsia="Arial" w:hAnsi="Arial"/>
                <w:color w:val="222222"/>
                <w:sz w:val="18"/>
                <w:szCs w:val="18"/>
              </w:rPr>
            </w:pPr>
            <w:hyperlink r:id="rId10">
              <w:r w:rsidDel="00000000" w:rsidR="00000000" w:rsidRPr="00000000">
                <w:rPr>
                  <w:rFonts w:ascii="Arial" w:cs="Arial" w:eastAsia="Arial" w:hAnsi="Arial"/>
                  <w:color w:val="1155cc"/>
                  <w:sz w:val="18"/>
                  <w:szCs w:val="18"/>
                  <w:u w:val="single"/>
                  <w:rtl w:val="0"/>
                </w:rPr>
                <w:t xml:space="preserve">https://scienti.colciencias.gov.co/cvlac/EnRecursoHumano/inicio.do</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D">
            <w:pPr>
              <w:jc w:val="center"/>
              <w:rPr>
                <w:rFonts w:ascii="Arial" w:cs="Arial" w:eastAsia="Arial" w:hAnsi="Arial"/>
                <w:color w:val="222222"/>
                <w:sz w:val="24"/>
                <w:szCs w:val="24"/>
              </w:rPr>
            </w:pPr>
            <w:hyperlink r:id="rId11">
              <w:r w:rsidDel="00000000" w:rsidR="00000000" w:rsidRPr="00000000">
                <w:rPr>
                  <w:color w:val="1155cc"/>
                  <w:sz w:val="18"/>
                  <w:szCs w:val="18"/>
                  <w:u w:val="single"/>
                  <w:rtl w:val="0"/>
                </w:rPr>
                <w:t xml:space="preserve">https://orcid.org/0000-0001-9346-7598</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E">
            <w:pPr>
              <w:jc w:val="center"/>
              <w:rPr>
                <w:rFonts w:ascii="Arial" w:cs="Arial" w:eastAsia="Arial" w:hAnsi="Arial"/>
                <w:color w:val="222222"/>
                <w:sz w:val="18"/>
                <w:szCs w:val="18"/>
              </w:rPr>
            </w:pPr>
            <w:hyperlink r:id="rId12">
              <w:r w:rsidDel="00000000" w:rsidR="00000000" w:rsidRPr="00000000">
                <w:rPr>
                  <w:rFonts w:ascii="Arial" w:cs="Arial" w:eastAsia="Arial" w:hAnsi="Arial"/>
                  <w:color w:val="1155cc"/>
                  <w:sz w:val="18"/>
                  <w:szCs w:val="18"/>
                  <w:u w:val="single"/>
                  <w:rtl w:val="0"/>
                </w:rPr>
                <w:t xml:space="preserve">https://scholar.google.es/citations?user=-eq345cAAAAJ&amp;hl=es</w:t>
              </w:r>
            </w:hyperlink>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F">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0">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1">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3">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Salud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4">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5">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6">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color w:val="222222"/>
                <w:rtl w:val="0"/>
              </w:rPr>
              <w:t xml:space="preserve">Cuerpo, Sujeto y Educación</w:t>
            </w: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7">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B">
            <w:pPr>
              <w:jc w:val="center"/>
              <w:rPr>
                <w:rFonts w:ascii="Arial" w:cs="Arial" w:eastAsia="Arial" w:hAnsi="Arial"/>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C">
            <w:pPr>
              <w:jc w:val="center"/>
              <w:rPr>
                <w:rFonts w:ascii="Arial" w:cs="Arial" w:eastAsia="Arial" w:hAnsi="Arial"/>
                <w:color w:val="222222"/>
                <w:sz w:val="18"/>
                <w:szCs w:val="18"/>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D">
            <w:pPr>
              <w:jc w:val="center"/>
              <w:rPr>
                <w:rFonts w:ascii="Arial" w:cs="Arial" w:eastAsia="Arial" w:hAnsi="Arial"/>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E">
            <w:pPr>
              <w:jc w:val="center"/>
              <w:rPr>
                <w:rFonts w:ascii="Arial" w:cs="Arial" w:eastAsia="Arial" w:hAnsi="Arial"/>
                <w:color w:val="222222"/>
                <w:sz w:val="18"/>
                <w:szCs w:val="18"/>
              </w:rPr>
            </w:pP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F">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0">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1">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3">
            <w:pPr>
              <w:spacing w:line="240" w:lineRule="auto"/>
              <w:jc w:val="center"/>
              <w:rPr>
                <w:rFonts w:ascii="Arial" w:cs="Arial" w:eastAsia="Arial" w:hAnsi="Arial"/>
                <w:color w:val="222222"/>
                <w:sz w:val="24"/>
                <w:szCs w:val="24"/>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4">
            <w:pPr>
              <w:spacing w:line="240" w:lineRule="auto"/>
              <w:jc w:val="center"/>
              <w:rPr>
                <w:rFonts w:ascii="Arial" w:cs="Arial" w:eastAsia="Arial" w:hAnsi="Arial"/>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5">
            <w:pPr>
              <w:spacing w:line="240" w:lineRule="auto"/>
              <w:jc w:val="center"/>
              <w:rPr>
                <w:rFonts w:ascii="Arial" w:cs="Arial" w:eastAsia="Arial" w:hAnsi="Arial"/>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6">
            <w:pPr>
              <w:spacing w:line="240" w:lineRule="auto"/>
              <w:jc w:val="center"/>
              <w:rPr>
                <w:rFonts w:ascii="Arial" w:cs="Arial" w:eastAsia="Arial" w:hAnsi="Arial"/>
                <w:color w:val="222222"/>
                <w:sz w:val="24"/>
                <w:szCs w:val="24"/>
              </w:rPr>
            </w:pPr>
            <w:r w:rsidDel="00000000" w:rsidR="00000000" w:rsidRPr="00000000">
              <w:rPr>
                <w:rtl w:val="0"/>
              </w:rPr>
            </w:r>
          </w:p>
        </w:tc>
      </w:tr>
    </w:tbl>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3"/>
        <w:tblW w:w="14983.000000000002" w:type="dxa"/>
        <w:jc w:val="left"/>
        <w:tblInd w:w="0.0" w:type="dxa"/>
        <w:tblLayout w:type="fixed"/>
        <w:tblLook w:val="0400"/>
      </w:tblPr>
      <w:tblGrid>
        <w:gridCol w:w="7491"/>
        <w:gridCol w:w="7492"/>
        <w:tblGridChange w:id="0">
          <w:tblGrid>
            <w:gridCol w:w="7491"/>
            <w:gridCol w:w="7492"/>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4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Resumen de la propuesta</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4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Palabras clave</w:t>
            </w:r>
          </w:p>
        </w:tc>
      </w:tr>
      <w:tr>
        <w:trPr>
          <w:trHeight w:val="144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A">
            <w:pP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4B">
            <w:pPr>
              <w:shd w:fill="ffffff" w:val="clea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disminución de la tasa de natalidad, así mismo como la mejora en servicios de salud ha llevado a un incremento en la población de adultos mayores, y por lo tanto se ha convertido en un objetivo de la salud pública. El objetivo del presente estudio es determinar qué influencia pueden generar diferentes tipos de protocolos de ejercicio físico sobre el estado de ánimo de cognición y perfil neurotrófico en plasma de IGF-1 IGFBP en adultos mayores de la ciudad de Bogotá. Se realiza un ensayo clínico aleatorizado dividido en cuatro protocolos a los que se verán expuestos los sujetos de la siguiente manera: Grupo de Fuerza (GF) Grupo de Coordinación (GCo) Grupo de Resistencia (GR) y Grupo de Flexibilidad o Grupo Control (GF). Las medidas serán tomadas antes y después de la exposición de los sujetos a los protocolos; los sujetos tendrán un periodo de descanso de 72 horas entre cada sesión. Se espera obtener resultados que permitan identificar en cada uno de los protocolos las respuestas de los sujetos frente al ejercicio y así determinar qué tipo de ejercicio se recomienda en esta población frente a problemáticas como el deterioro cognitivo y problemas emocionales.</w:t>
            </w:r>
          </w:p>
          <w:p w:rsidR="00000000" w:rsidDel="00000000" w:rsidP="00000000" w:rsidRDefault="00000000" w:rsidRPr="00000000" w14:paraId="0000004C">
            <w:pP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4D">
            <w:pP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4E">
            <w:pPr>
              <w:spacing w:after="0" w:line="240" w:lineRule="auto"/>
              <w:jc w:val="both"/>
              <w:rPr>
                <w:rFonts w:ascii="Arial" w:cs="Arial" w:eastAsia="Arial" w:hAnsi="Arial"/>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F">
            <w:pPr>
              <w:spacing w:after="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Afecto; Cognición; factores de crecimiento nervioso; persona mayor (Fuente: Descriptores en Ciencias de la Salud DeSC</w:t>
            </w:r>
          </w:p>
        </w:tc>
      </w:tr>
    </w:tbl>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Problema de investigación</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3">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hd w:fill="ffffff" w:val="clear"/>
              <w:spacing w:after="220" w:line="312"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De acuerdo con el último reporte entregado por el Departamento Nacional de Estadística en Colombia DANE (2018), respecto a las tasas de mortalidad para los períodos 2005 - 2020, el promedio de sobrevida para los hombres en el país se encuentra en 74 años aproximadamente con un incremento de 6,8 años  más de sobrevida en las mujeres; esto ha conllevado al gobierno nacional a pensar de manera seria en el diseño de políticas públicas que garanticen afrontar estos sucesos con la mayor responsabilidad posible. Dichas políticas se han centrado en garantizar la base pensional de los adultos mayores, en reestructurar el acceso al sistema de salud y en el diseño de programas que opten por el cuidado y bienestar de esta población. Según lo resalta el DANE en su informe, para 1985 el 3,8% de la población colombiana tenía más de 60 años, sin embargo, en 1993 este dato se incrementó llegando a un 4,52% de personas mayores de 60 años. </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hd w:fill="ffffff" w:val="clear"/>
              <w:spacing w:after="220" w:line="312"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En virtud de lo anterior, no se puede negar que este incremento irá en ascenso siendo múltiples las razones por la cual se observa una reducción de la población de jóvenes comparada con la población adulta; básicamente se afirma que la causa fundamental está asociada con las medidas de control de la natalidad adoptadas por el país; por otra parte la desigualdad económica, la devastación social, el bajo acceso a fuentes de empleo impiden a los jóvenes considerar la posibilidad de un número superior de hijos. Ahora  bien, este fenómeno no se presenta en Colombia, sino que se replica en naciones aún donde el crecimiento económico es aún mayor, puesto que priman otros factores como el lograr un nivel educativo mayor según lo reporta Naciones Unidas en su </w:t>
            </w:r>
            <w:r w:rsidDel="00000000" w:rsidR="00000000" w:rsidRPr="00000000">
              <w:rPr>
                <w:rFonts w:ascii="Arial" w:cs="Arial" w:eastAsia="Arial" w:hAnsi="Arial"/>
                <w:color w:val="222222"/>
                <w:sz w:val="20"/>
                <w:szCs w:val="20"/>
                <w:highlight w:val="white"/>
                <w:rtl w:val="0"/>
              </w:rPr>
              <w:t xml:space="preserve">Revision of World Population Prospects (2019). </w:t>
            </w:r>
            <w:r w:rsidDel="00000000" w:rsidR="00000000" w:rsidRPr="00000000">
              <w:rPr>
                <w:rFonts w:ascii="Arial" w:cs="Arial" w:eastAsia="Arial" w:hAnsi="Arial"/>
                <w:color w:val="222222"/>
                <w:sz w:val="20"/>
                <w:szCs w:val="20"/>
                <w:rtl w:val="0"/>
              </w:rPr>
              <w:t xml:space="preserve"> </w:t>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hd w:fill="ffffff" w:val="clear"/>
              <w:spacing w:after="220" w:line="312" w:lineRule="auto"/>
              <w:jc w:val="both"/>
              <w:rPr>
                <w:rFonts w:ascii="Arial" w:cs="Arial" w:eastAsia="Arial" w:hAnsi="Arial"/>
                <w:b w:val="1"/>
                <w:color w:val="70ad47"/>
                <w:sz w:val="20"/>
                <w:szCs w:val="20"/>
              </w:rPr>
            </w:pPr>
            <w:r w:rsidDel="00000000" w:rsidR="00000000" w:rsidRPr="00000000">
              <w:rPr>
                <w:rFonts w:ascii="Arial" w:cs="Arial" w:eastAsia="Arial" w:hAnsi="Arial"/>
                <w:color w:val="222222"/>
                <w:sz w:val="20"/>
                <w:szCs w:val="20"/>
                <w:rtl w:val="0"/>
              </w:rPr>
              <w:t xml:space="preserve">Por ende, la preservación de una longevidad adecuada conlleva a la generación de acciones que se enmarquen en la salud, siendo la actividad física una estrategia que responde a esta necesidad. La actividad física ejecutada por adultos mayores ha demostrado múltiples beneficios que van en pro de optimizar la  funcionalidad, la ejecución de actividades instrumentales y básicas de la vida diaria así como la reducción del riesgo de padecer enfermedades crónicas no  transmisibles. Adicionalmente, la práctica regular de ejercicio físico ha demostrado un impacto positivo en la reducción de niveles de depresión y  deterioro cognitivo que de acuerdo con la encuesta SABE (Salud, bienestar y envejecimiento, 2017), son los principales factores que conllevan a incrementar la tasa de suicidios en el adulto mayor. </w:t>
            </w:r>
            <w:r w:rsidDel="00000000" w:rsidR="00000000" w:rsidRPr="00000000">
              <w:rPr>
                <w:rtl w:val="0"/>
              </w:rPr>
            </w:r>
          </w:p>
          <w:p w:rsidR="00000000" w:rsidDel="00000000" w:rsidP="00000000" w:rsidRDefault="00000000" w:rsidRPr="00000000" w14:paraId="00000057">
            <w:pPr>
              <w:shd w:fill="ffffff" w:val="clear"/>
              <w:spacing w:line="360" w:lineRule="auto"/>
              <w:jc w:val="both"/>
              <w:rPr>
                <w:rFonts w:ascii="Helvetica Neue" w:cs="Helvetica Neue" w:eastAsia="Helvetica Neue" w:hAnsi="Helvetica Neue"/>
                <w:color w:val="222222"/>
                <w:sz w:val="24"/>
                <w:szCs w:val="24"/>
              </w:rPr>
            </w:pPr>
            <w:r w:rsidDel="00000000" w:rsidR="00000000" w:rsidRPr="00000000">
              <w:rPr>
                <w:rFonts w:ascii="Arial" w:cs="Arial" w:eastAsia="Arial" w:hAnsi="Arial"/>
                <w:sz w:val="20"/>
                <w:szCs w:val="20"/>
                <w:rtl w:val="0"/>
              </w:rPr>
              <w:t xml:space="preserve">Considerando las grandes bondades que implica para el adulto mayor la realización de ejercicio físico, se busca con la generación del presente proyecto evidenciar la necesidad de determinar un perfil completo en diferentes tipos de actividad física que permita proponer los protocolos más fiables y asertivos a aplicar en esta población en términos de mejorar estados de ánimo y cognición en dicha población.</w:t>
            </w:r>
            <w:r w:rsidDel="00000000" w:rsidR="00000000" w:rsidRPr="00000000">
              <w:rPr>
                <w:rtl w:val="0"/>
              </w:rPr>
            </w:r>
          </w:p>
        </w:tc>
      </w:tr>
    </w:tbl>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5"/>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Justificación</w:t>
            </w:r>
          </w:p>
        </w:tc>
      </w:tr>
      <w:tr>
        <w:trPr>
          <w:trHeight w:val="34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A">
            <w:pPr>
              <w:spacing w:after="240" w:before="240" w:line="36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Puesto que la práctica de actividad física se constituye como un eje central que favorece la funcionalidad en el adulto mayor, es importante determinar cómo los efectos del ejercicio físico supervisado desde la fase aguda contribuyen al incremento de marcadores neurotróficos que impactan de manera directa en los estados de cognición y de ánimo en los adultos mayores. </w:t>
            </w:r>
          </w:p>
          <w:p w:rsidR="00000000" w:rsidDel="00000000" w:rsidP="00000000" w:rsidRDefault="00000000" w:rsidRPr="00000000" w14:paraId="0000005B">
            <w:pPr>
              <w:spacing w:after="240" w:before="240" w:line="36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Múltiples investigaciones han demostrado resultados importantes obtenidos tras la práctica regular de ejercicio físico, resultados que han impactado de manera directa en la  reducción de factores de riesgo cardiovascular, sobre la composición corporal la salud musculoesquelética y las funciones mentales superiores de la persona mayor; no obstante, son pocos los estudios que de manera directa y bajo la aplicación de pruebas controladas,  evidencian la correlación existente entre los marcadores neurotróficos y el adecuado funcionamiento cognitivo evaluado bajo pruebas psicométricas estándar; de la misma manera que se presenta un vacío investigativo entre la elevación de marcadores neurotróficos y la mejoría de los estados de ánimo en esta población. En concordancia con lo anterior, resulta importante iniciar este tipo de ejercicios investigativos con población adulta mayor, partiendo de la premisa en la cual se señala que el déficit de actividad física contribuye a la elevación de marcadores inflamatorios que inciden de manera directa en el deterioro de las estructuras cerebrales y por ende afecta los procesos de cognición y estados de ánimo. </w:t>
            </w:r>
          </w:p>
          <w:p w:rsidR="00000000" w:rsidDel="00000000" w:rsidP="00000000" w:rsidRDefault="00000000" w:rsidRPr="00000000" w14:paraId="0000005C">
            <w:pPr>
              <w:spacing w:after="240" w:before="240" w:line="360" w:lineRule="auto"/>
              <w:jc w:val="both"/>
              <w:rPr>
                <w:rFonts w:ascii="Arial" w:cs="Arial" w:eastAsia="Arial" w:hAnsi="Arial"/>
                <w:color w:val="222222"/>
                <w:sz w:val="16"/>
                <w:szCs w:val="16"/>
              </w:rPr>
            </w:pPr>
            <w:r w:rsidDel="00000000" w:rsidR="00000000" w:rsidRPr="00000000">
              <w:rPr>
                <w:rFonts w:ascii="Arial" w:cs="Arial" w:eastAsia="Arial" w:hAnsi="Arial"/>
                <w:color w:val="222222"/>
                <w:sz w:val="20"/>
                <w:szCs w:val="20"/>
                <w:rtl w:val="0"/>
              </w:rPr>
              <w:t xml:space="preserve">El trabajo en conjunto con profesionales de las ciencias de la salud permite a partir de lo anteriormente expuesto, desarrollar propuestas de trabajo supervisado a partir de la implementación de la actividad física para la salud con la población de adultos mayores, impactar en estos aspectos que son relevantes para la adecuada funcionalidad y calidad de vida de estos sujetos. </w:t>
            </w:r>
            <w:r w:rsidDel="00000000" w:rsidR="00000000" w:rsidRPr="00000000">
              <w:rPr>
                <w:rFonts w:ascii="Arial" w:cs="Arial" w:eastAsia="Arial" w:hAnsi="Arial"/>
                <w:color w:val="222222"/>
                <w:sz w:val="20"/>
                <w:szCs w:val="20"/>
                <w:highlight w:val="white"/>
                <w:rtl w:val="0"/>
              </w:rPr>
              <w:t xml:space="preserve">Finalmente, las alianzas investigativas contribuyen al fortalecimiento de las distintas líneas y grupos de investigación, con impactos altamente significativos en términos de generación de nuevo conocimiento, la innovación y participación ciudadana, dado que se está trabajando con población potencialmente vulnerable.</w:t>
            </w:r>
            <w:r w:rsidDel="00000000" w:rsidR="00000000" w:rsidRPr="00000000">
              <w:rPr>
                <w:rtl w:val="0"/>
              </w:rPr>
            </w:r>
          </w:p>
        </w:tc>
      </w:tr>
    </w:tbl>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6"/>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E">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Objetivo general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F">
            <w:pPr>
              <w:shd w:fill="ffffff" w:val="clear"/>
              <w:spacing w:line="360" w:lineRule="auto"/>
              <w:jc w:val="both"/>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Determinar la influencia de diferentes protocolos de esfuerzo físico sobre el estado cognitivo, de ánimo y concentración de neurotrofinas en sangre IGF-1 y IGFBP en adultos mayores de la ciudad de Bogotá D.C.</w:t>
            </w:r>
            <w:r w:rsidDel="00000000" w:rsidR="00000000" w:rsidRPr="00000000">
              <w:rPr>
                <w:rtl w:val="0"/>
              </w:rPr>
            </w:r>
          </w:p>
        </w:tc>
      </w:tr>
    </w:tbl>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7"/>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1">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Objetivos específicos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2">
            <w:pPr>
              <w:numPr>
                <w:ilvl w:val="0"/>
                <w:numId w:val="2"/>
              </w:numPr>
              <w:shd w:fill="ffffff" w:val="clea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Caracterizar el estado funcional y neurocognitivo de personas mayores.</w:t>
            </w:r>
          </w:p>
          <w:p w:rsidR="00000000" w:rsidDel="00000000" w:rsidP="00000000" w:rsidRDefault="00000000" w:rsidRPr="00000000" w14:paraId="00000063">
            <w:pPr>
              <w:shd w:fill="ffffff" w:val="clear"/>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numPr>
                <w:ilvl w:val="0"/>
                <w:numId w:val="2"/>
              </w:numPr>
              <w:shd w:fill="ffffff" w:val="clea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Determinar la asociación entre los marcadores neurotróficos, de estado de ánimo y cognitivos en el estudio</w:t>
            </w:r>
          </w:p>
          <w:p w:rsidR="00000000" w:rsidDel="00000000" w:rsidP="00000000" w:rsidRDefault="00000000" w:rsidRPr="00000000" w14:paraId="00000065">
            <w:pPr>
              <w:shd w:fill="ffffff" w:val="clear"/>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6">
            <w:pPr>
              <w:numPr>
                <w:ilvl w:val="0"/>
                <w:numId w:val="2"/>
              </w:numPr>
              <w:shd w:fill="ffffff" w:val="clear"/>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Identificar la posible influencia del estado de condición física en los sujetos sobre el perfil neurotrófico, estado de ánimo y cognitivo.</w:t>
            </w:r>
          </w:p>
          <w:p w:rsidR="00000000" w:rsidDel="00000000" w:rsidP="00000000" w:rsidRDefault="00000000" w:rsidRPr="00000000" w14:paraId="00000067">
            <w:pPr>
              <w:spacing w:after="240" w:before="240" w:line="276" w:lineRule="auto"/>
              <w:ind w:left="1080" w:hanging="360"/>
              <w:jc w:val="both"/>
              <w:rPr>
                <w:rFonts w:ascii="Arial" w:cs="Arial" w:eastAsia="Arial" w:hAnsi="Arial"/>
                <w:sz w:val="20"/>
                <w:szCs w:val="20"/>
                <w:highlight w:val="white"/>
              </w:rPr>
            </w:pPr>
            <w:r w:rsidDel="00000000" w:rsidR="00000000" w:rsidRPr="00000000">
              <w:rPr>
                <w:rtl w:val="0"/>
              </w:rPr>
            </w:r>
          </w:p>
        </w:tc>
      </w:tr>
    </w:tbl>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8"/>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Estado del arte y marco conceptual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A">
            <w:pPr>
              <w:spacing w:after="0" w:line="240" w:lineRule="auto"/>
              <w:jc w:val="both"/>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Marco conceptual</w:t>
            </w:r>
          </w:p>
          <w:p w:rsidR="00000000" w:rsidDel="00000000" w:rsidP="00000000" w:rsidRDefault="00000000" w:rsidRPr="00000000" w14:paraId="0000006B">
            <w:pPr>
              <w:spacing w:after="0" w:line="240" w:lineRule="auto"/>
              <w:jc w:val="both"/>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6C">
            <w:pPr>
              <w:spacing w:after="0" w:line="36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Ha sido demostrado en la literatura que el ejercicio tiene efectos sobre el cerebro, sobre todo en edades adultas (Cotman 2007) en donde el deterioro cognitivo es más evidente. Tales beneficios están reportados bajo la posible influencia del BDNF, no obstante, otros factores que pueden funcionar a manera de precursores o coactivadores no están del todo estudiados, o su nivel de evidencia resulta controversial. Para este caso, el IGF-1 es un factor que parece modular la respuesta tanto periférica como central del BDNF (Cotman 2002), además puede cumplir múltiples papeles tanto cerebrales -atraviesa la barrera hematoencefálica- como sobre el estado anabólico del músculo. El Factor de Crecimiento del Endotelio Vascular (VEGF), BDNF, IGF-1 parecen modular en concierto, las respuestas cerebrales producidas por el ejercicio, así los efectos en aprendizaje y depresión están relacionados principalmente con IGF-1 y BDNF, mientras que la respuesta modulada por angiogénesis y neurogénesis hipocampal parece estar más relacionada con IGF-1 y VEGF (Cotman 2007).</w:t>
            </w:r>
          </w:p>
          <w:p w:rsidR="00000000" w:rsidDel="00000000" w:rsidP="00000000" w:rsidRDefault="00000000" w:rsidRPr="00000000" w14:paraId="0000006D">
            <w:pPr>
              <w:spacing w:after="0" w:line="240" w:lineRule="auto"/>
              <w:jc w:val="both"/>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6E">
            <w:pPr>
              <w:spacing w:after="0" w:line="360" w:lineRule="auto"/>
              <w:jc w:val="both"/>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IGF-1</w:t>
            </w:r>
          </w:p>
          <w:p w:rsidR="00000000" w:rsidDel="00000000" w:rsidP="00000000" w:rsidRDefault="00000000" w:rsidRPr="00000000" w14:paraId="0000006F">
            <w:pPr>
              <w:spacing w:after="0" w:line="36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En 1957 Salmon y Daughaday descubrieron una sustancia dependiente de GH que definieron como “Factor de Sulfatación” que luego recibe el nombre de “somatomedina”, lo  cual dió paso al posterior descubrimiento de los complejos IGF. Tal péptido tiene un peso molecular cercano a 7kDa , receptores de membrana de tipo tirosin kinasa similares a receptores de insulina y Proteinas de unión a un nivel de afinidad mayor que los receptores celulares anteriormente mencionados (Ranke 2015)</w:t>
            </w:r>
          </w:p>
          <w:p w:rsidR="00000000" w:rsidDel="00000000" w:rsidP="00000000" w:rsidRDefault="00000000" w:rsidRPr="00000000" w14:paraId="00000070">
            <w:pPr>
              <w:spacing w:after="0" w:line="36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El gen que transcribe para IGF-1 se compone de seis exones y cinco intrones generando cerca de 100 IGF-1 RNA mensajeros (Rotwein 2012). El factor de crecimiento similar a la insulina IGF-1 (por sus siglas en inglés) debe su nombre a su semejanza estructural a la insulina, tiene un papel protagónico en el crecimiento durante la pubertad decreciendo en la infancia y con el envejecimiento, dejando de producir efectos anabólicos. Sus efectos están relacionados con una potente influencia sobre el crecimiento y diferenciación neuronal, además de ser un precursor neurotrófico del BDNF por vía de regulación genética (Cotman 2002). </w:t>
            </w:r>
          </w:p>
          <w:p w:rsidR="00000000" w:rsidDel="00000000" w:rsidP="00000000" w:rsidRDefault="00000000" w:rsidRPr="00000000" w14:paraId="00000071">
            <w:pPr>
              <w:spacing w:after="0" w:line="240" w:lineRule="auto"/>
              <w:jc w:val="both"/>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072">
            <w:pPr>
              <w:spacing w:after="0" w:line="240" w:lineRule="auto"/>
              <w:jc w:val="both"/>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IGF-1 y Ejercicio</w:t>
            </w:r>
          </w:p>
          <w:p w:rsidR="00000000" w:rsidDel="00000000" w:rsidP="00000000" w:rsidRDefault="00000000" w:rsidRPr="00000000" w14:paraId="00000073">
            <w:pPr>
              <w:spacing w:after="0" w:line="240" w:lineRule="auto"/>
              <w:jc w:val="both"/>
              <w:rPr>
                <w:rFonts w:ascii="Arial" w:cs="Arial" w:eastAsia="Arial" w:hAnsi="Arial"/>
                <w:b w:val="1"/>
                <w:color w:val="222222"/>
                <w:sz w:val="20"/>
                <w:szCs w:val="20"/>
              </w:rPr>
            </w:pPr>
            <w:r w:rsidDel="00000000" w:rsidR="00000000" w:rsidRPr="00000000">
              <w:rPr>
                <w:rtl w:val="0"/>
              </w:rPr>
            </w:r>
          </w:p>
          <w:p w:rsidR="00000000" w:rsidDel="00000000" w:rsidP="00000000" w:rsidRDefault="00000000" w:rsidRPr="00000000" w14:paraId="00000074">
            <w:pPr>
              <w:spacing w:after="0" w:line="36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Tanto los niveles centrales como periféricos de IGF-1 se incrementan como respuesta al ejercicio generando un efecto neuroprotector, de esta manera, al atravesar la barrera hematoencefálica los efectos centrales pueden ser adjudicados a incrementos periféricos (Cotman 2002), pues la administración de IGF-1  induce cambios RNA mensajero de BDNF en el cerebro (Carro 2000). Los cambios en dicha neurotrofina pueden estar relacionados con mejoras estado de ánimo y disminución de la ansiedad en adultos mayores expuestos a ejercicio (Cassilhas et al 2010) aunque los resultados parecen ser controversiales (Maass 2016)</w:t>
            </w:r>
          </w:p>
          <w:p w:rsidR="00000000" w:rsidDel="00000000" w:rsidP="00000000" w:rsidRDefault="00000000" w:rsidRPr="00000000" w14:paraId="00000075">
            <w:pPr>
              <w:spacing w:after="0" w:line="240" w:lineRule="auto"/>
              <w:jc w:val="both"/>
              <w:rPr>
                <w:rFonts w:ascii="Arial" w:cs="Arial" w:eastAsia="Arial" w:hAnsi="Arial"/>
                <w:b w:val="1"/>
                <w:color w:val="222222"/>
                <w:sz w:val="20"/>
                <w:szCs w:val="20"/>
              </w:rPr>
            </w:pPr>
            <w:r w:rsidDel="00000000" w:rsidR="00000000" w:rsidRPr="00000000">
              <w:rPr>
                <w:rtl w:val="0"/>
              </w:rPr>
            </w:r>
          </w:p>
          <w:p w:rsidR="00000000" w:rsidDel="00000000" w:rsidP="00000000" w:rsidRDefault="00000000" w:rsidRPr="00000000" w14:paraId="00000076">
            <w:pPr>
              <w:spacing w:after="0" w:line="36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También el IGF-1 es un modulador positivo de hipertrofia muscular (Philippou et al 2009) y ha sido estudiado en su expresión en adultos mayores (Hameed et al 2004)  pues su receptor celular impulsa cascadas de señalización generando respuestas tanto miogénicas como mitogénicas por efectos auto, para y endocrinos (Walker 2004), lo cual puede hablar de su respuesta sobre distintas modalidades de ejercicio físico al relacionarse con el metabolismo, reparación de tejidos, envejecimiento  y carcinogénesis (Rotwein 2012). En tal sentido, IGF-1 circulante puede estar más relacionado con ejercicios de Fuerza que con ejercicios de tipo aeróbico  (de Souza et al 2008) aunque hay evidencia del efecto de ejercicio aeróbico de moderada intensidad sobre el incremento de dicho factor dependiente de proteínas de fijación en sangre (IFGBP-1, 2 y 3 (Chadan et al 1999). El denominado eje GH/IGF-1, es decir, las concentraciones de GH en relación a las concentraciones de IGF-1 en plasma han venido siendo relacionadas con procesos degenerativos relacionados con la edad (Scarth 2006) , así como los posibles efectos terapéuticos de su expresión epigenética (Alvarez-Nava 2017)</w:t>
            </w:r>
          </w:p>
          <w:p w:rsidR="00000000" w:rsidDel="00000000" w:rsidP="00000000" w:rsidRDefault="00000000" w:rsidRPr="00000000" w14:paraId="00000077">
            <w:pPr>
              <w:spacing w:after="0" w:line="240" w:lineRule="auto"/>
              <w:jc w:val="both"/>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78">
            <w:pPr>
              <w:ind w:left="0" w:firstLine="0"/>
              <w:jc w:val="both"/>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Ejercicio físico agudo y su relación con cognición y estados de ánimo</w:t>
            </w:r>
          </w:p>
          <w:p w:rsidR="00000000" w:rsidDel="00000000" w:rsidP="00000000" w:rsidRDefault="00000000" w:rsidRPr="00000000" w14:paraId="00000079">
            <w:pPr>
              <w:spacing w:line="360" w:lineRule="auto"/>
              <w:jc w:val="both"/>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 </w:t>
            </w:r>
          </w:p>
          <w:p w:rsidR="00000000" w:rsidDel="00000000" w:rsidP="00000000" w:rsidRDefault="00000000" w:rsidRPr="00000000" w14:paraId="0000007A">
            <w:pPr>
              <w:spacing w:line="360" w:lineRule="auto"/>
              <w:ind w:left="0" w:firstLine="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Los efectos del ejercicio agudo en relación con los estados de ánimo empezaron a ser estudiados por Pierce y Pate (1994), quienes evaluaron las respuestas presentadas en una sola sesión de actividad física entre mujeres adultas mayores, documentando reducciones significativas en variables tales como: la tensión, la depresión, la fatiga y la ira; es importante resaltar, que para el caso de la depresión se encontró una reducción importante la cual se correlacionó por las mejoras en términos de funcionalidad, reducción de caídas y optimización de la calidad de vida manifiestas por la población estudio.</w:t>
            </w:r>
          </w:p>
          <w:p w:rsidR="00000000" w:rsidDel="00000000" w:rsidP="00000000" w:rsidRDefault="00000000" w:rsidRPr="00000000" w14:paraId="0000007B">
            <w:pPr>
              <w:ind w:left="360" w:firstLine="0"/>
              <w:jc w:val="both"/>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7C">
            <w:pPr>
              <w:spacing w:line="360" w:lineRule="auto"/>
              <w:ind w:left="0" w:firstLine="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De acuerdo con lo expresado por (Villareal et al., 2016), quienes intervinieron de manera experimental a un grupo de 63 mujeres adultas mayores con edades que oscilaban entre los 60 y 79 años, buscando establecer el grado de influencia de un programa de ejercicio físico  sobre el bienestar psicológico, la salud mental y su impacto en los estados de ánimo, a partir de la aplicación de la escala Profile of Mood States (POMS); los autores documentaron que la práctica crónica de actividad física incidió de manera positiva en el vigor tras 12 semanas de ejercicio físico supervisado sin embargo, se evidenció una mejoría notable de manera aguda en los estados de ánimo de esta población.</w:t>
            </w:r>
          </w:p>
          <w:p w:rsidR="00000000" w:rsidDel="00000000" w:rsidP="00000000" w:rsidRDefault="00000000" w:rsidRPr="00000000" w14:paraId="0000007D">
            <w:pPr>
              <w:ind w:left="360" w:firstLine="0"/>
              <w:jc w:val="both"/>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7E">
            <w:pPr>
              <w:spacing w:line="360" w:lineRule="auto"/>
              <w:ind w:left="0" w:firstLine="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Ahora bien, con relación a las funciones cognitivas es importante comprender que gran parte de los estudios manifiestan que una de las capacidades cognitivas más importantes del adulto está asociada a la memoria de corto plazo.  Según lo descrito por (Landinez  et al., 2012), uno de los signos clásicos que reflejan el deterioro cognitivo está asociado con la pérdida de esta, la cual parece estar asociada a cambios estructurales que alteran el adecuado funcionamiento neurológico; los cambios en la vascularización cerebral  inciden en la adecuada relación aporte consumo, la nutrición celular y la neurogénesis, eventos que generan de por sí, angustia en el adulto mayor, sensación de impotencia y estados adrenérgicos relacionados con el miedo experimentado por los mismos.</w:t>
            </w:r>
          </w:p>
          <w:p w:rsidR="00000000" w:rsidDel="00000000" w:rsidP="00000000" w:rsidRDefault="00000000" w:rsidRPr="00000000" w14:paraId="0000007F">
            <w:pPr>
              <w:ind w:left="360" w:firstLine="0"/>
              <w:jc w:val="both"/>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80">
            <w:pPr>
              <w:spacing w:line="360" w:lineRule="auto"/>
              <w:ind w:left="0" w:firstLine="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La ejecución de ejercicio físico regular, incide notablemente en la perfusión cerebral derivada de los procesos de vasodilatación aguda inicial reportados en diversas investigaciones tras la ejecución de trabajo aeróbico; optimiza la capacidad de absorción de glucosa por parte de las neuronas lo que agiliza los procesos de interconexión y sinapsis neuronal, observándose un incremento en la velocidad de procesamiento de la información y la capacidad de memoria del adulto mayor; por otra parte, la realización de ejercicio físico eleva la respuesta neuroquímica con incrementos en la producción de neurotransmisores como la serotonina que conducen a mejorar la sensación de bienestar tras la optimización de los estados de sueño vigilia. </w:t>
            </w:r>
          </w:p>
          <w:p w:rsidR="00000000" w:rsidDel="00000000" w:rsidP="00000000" w:rsidRDefault="00000000" w:rsidRPr="00000000" w14:paraId="00000081">
            <w:pPr>
              <w:spacing w:after="0" w:line="240" w:lineRule="auto"/>
              <w:jc w:val="both"/>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82">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3">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4">
            <w:pPr>
              <w:spacing w:after="0" w:line="240" w:lineRule="auto"/>
              <w:jc w:val="both"/>
              <w:rPr>
                <w:rFonts w:ascii="Helvetica Neue" w:cs="Helvetica Neue" w:eastAsia="Helvetica Neue" w:hAnsi="Helvetica Neue"/>
                <w:color w:val="222222"/>
                <w:sz w:val="24"/>
                <w:szCs w:val="24"/>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85">
            <w:pPr>
              <w:spacing w:after="0" w:line="240" w:lineRule="auto"/>
              <w:jc w:val="both"/>
              <w:rPr>
                <w:rFonts w:ascii="Arial" w:cs="Arial" w:eastAsia="Arial" w:hAnsi="Arial"/>
                <w:b w:val="1"/>
                <w:color w:val="222222"/>
                <w:sz w:val="24"/>
                <w:szCs w:val="24"/>
              </w:rPr>
            </w:pPr>
            <w:r w:rsidDel="00000000" w:rsidR="00000000" w:rsidRPr="00000000">
              <w:rPr>
                <w:rtl w:val="0"/>
              </w:rPr>
            </w:r>
          </w:p>
        </w:tc>
      </w:tr>
    </w:tbl>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9"/>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87">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Metodología</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88">
            <w:pPr>
              <w:spacing w:after="240" w:before="240" w:line="276" w:lineRule="auto"/>
              <w:ind w:left="72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Población y muestra</w:t>
            </w:r>
          </w:p>
          <w:p w:rsidR="00000000" w:rsidDel="00000000" w:rsidP="00000000" w:rsidRDefault="00000000" w:rsidRPr="00000000" w14:paraId="00000089">
            <w:pPr>
              <w:spacing w:after="240" w:before="240" w:line="276" w:lineRule="auto"/>
              <w:ind w:lef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población participante dentro del presente estudio estará conformada por adultos mayores asistentes al programa Recreovía IDRD pertenecientes a distintas localidades de la ciudad de Bogotá, los cuales serán seleccionados por intención considerando los siguientes aspectos: adultos mayores con edades que oscilan entre los 60 - 75 años, con funcionalidad conservada, sin ningún tipo de antecedentes o restricciones médicas que involucren enfermedades mentales que impliquen el consumo de fármacos para el tratamiento de las mismas y que participen de manera voluntaria en el estudio.  Para la aplicación de las pruebas en los sujetos de estudio, se contará con el aval del comité de ética de la Universidad Santo Tomás dando cumplimiento a las consideraciones éticas y normativas dadas en la Declaración de Helsinki. Cada participante será informado respecto al objetivo del estudio, las pruebas a realizar, riesgos, beneficios, confidencialidad y manejo de sus datos personales y los resultados obtenidos, a fin de que los mismos puedan tener clara su condición de salud. </w:t>
            </w:r>
          </w:p>
          <w:p w:rsidR="00000000" w:rsidDel="00000000" w:rsidP="00000000" w:rsidRDefault="00000000" w:rsidRPr="00000000" w14:paraId="0000008A">
            <w:pPr>
              <w:spacing w:after="240" w:before="24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Análisis Estadístico</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B">
            <w:pPr>
              <w:spacing w:before="24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Debido a la naturaleza del estudio se realiza un Análisis de Varianza Factorial de diseño Mixto, el cual, nos permite ver comparaciones de las variables con relación al tiempo (medidas repetidas) y además, comparaciones entre los grupos en que se divide el estudio (Flexibilidad, Fuerza, Coordinación, Resistencia). Para el análisis de las medias de las diferentes condiciones se ajustan los efectos principales mediante ajustes post-hoc Bonferroni, por ser el índice más conservador recomendado en la literatura. El diseño estadístico que se aplicará considerando que parte de la base de los estudios longitudinales será el diseño “</w:t>
            </w:r>
            <w:r w:rsidDel="00000000" w:rsidR="00000000" w:rsidRPr="00000000">
              <w:rPr>
                <w:rFonts w:ascii="Arial" w:cs="Arial" w:eastAsia="Arial" w:hAnsi="Arial"/>
                <w:b w:val="1"/>
                <w:sz w:val="20"/>
                <w:szCs w:val="20"/>
                <w:rtl w:val="0"/>
              </w:rPr>
              <w:t xml:space="preserve">split-plot</w:t>
            </w:r>
            <w:r w:rsidDel="00000000" w:rsidR="00000000" w:rsidRPr="00000000">
              <w:rPr>
                <w:rFonts w:ascii="Arial" w:cs="Arial" w:eastAsia="Arial" w:hAnsi="Arial"/>
                <w:sz w:val="20"/>
                <w:szCs w:val="20"/>
                <w:rtl w:val="0"/>
              </w:rPr>
              <w:t xml:space="preserve">”, el cual combina la estrategia de grupos con la estrategia de medidas repetidas. Por dicha razón, es conocido por diseño multimuestra de medidas repetidas. Los sujetos están agrupados en distintas submuestras y son observados a lo largo de una serie de puntos del tiempo u ocasiones (Venables &amp; Ripley, 2002). </w:t>
            </w:r>
          </w:p>
          <w:p w:rsidR="00000000" w:rsidDel="00000000" w:rsidP="00000000" w:rsidRDefault="00000000" w:rsidRPr="00000000" w14:paraId="0000008C">
            <w:pPr>
              <w:spacing w:before="240"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Protocolo</w:t>
            </w:r>
          </w:p>
          <w:p w:rsidR="00000000" w:rsidDel="00000000" w:rsidP="00000000" w:rsidRDefault="00000000" w:rsidRPr="00000000" w14:paraId="0000008D">
            <w:pPr>
              <w:spacing w:before="24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realizará un protocolo de entrenamiento el cual se describe en la parte inferior donde se generará un estímulo de ejercicio de forma aleatoria a la población; esta se dividirá en cuatro grupos de trabajo, los cuales  se denominan conforme el estímulo de Ejercicio Físico de la siguiente manera: Grupo RM (grupo de trabajo de fuerza), el cual entrenará a un porcentaje de su Repetición Máxima estimada (50-70%); Grupo CO entrenará sobre trabajos de Coordinación dinámica general; Grupo AE (grupo de trabajo de resistencia o aeróbico) el cual entrenará al 60% de su Frecuencia Cardiaca de Trabajo determinada por Karvonen; Grupo CT quienes realizarán entrenamiento de flexibilidad y funcionará como placebo (Figura 1). En este sentido, cada sujeto realizará cuatro entrenamientos, cada uno en una sesión diferente hasta lograr un gasto metabólico objetivo de 300 kcal (Garber et al 2011). partiendo de las recomendaciones  es indispensable aclarar que en para el caso de la población adulta mayor, no siempre la variable de tiempo asegura una definición clara de la intensidad de trabajo, por lo que se realiza una conversión y ajuste de en cuanto a minutos, mets y escala de esfuerzo percibido, encontrando que la intensidad puede ser medible de manera asertiva empleando el consumo kilocalórico del participante; en virtud de lo anterior se propone que la intensidad de trabajo a la cual será sometido el adulto mayor será de 300 kcal por cada protocolo de trabajo a completar. A continuación se plantea  el siguiente protocolo:</w:t>
            </w:r>
          </w:p>
          <w:p w:rsidR="00000000" w:rsidDel="00000000" w:rsidP="00000000" w:rsidRDefault="00000000" w:rsidRPr="00000000" w14:paraId="0000008E">
            <w:pPr>
              <w:spacing w:before="240" w:line="276"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114300" distT="114300" distL="114300" distR="114300">
                  <wp:extent cx="4324350" cy="1997710"/>
                  <wp:effectExtent b="0" l="0" r="0" t="0"/>
                  <wp:docPr id="10" name="image3.png"/>
                  <a:graphic>
                    <a:graphicData uri="http://schemas.openxmlformats.org/drawingml/2006/picture">
                      <pic:pic>
                        <pic:nvPicPr>
                          <pic:cNvPr id="0" name="image3.png"/>
                          <pic:cNvPicPr preferRelativeResize="0"/>
                        </pic:nvPicPr>
                        <pic:blipFill>
                          <a:blip r:embed="rId13"/>
                          <a:srcRect b="25603" l="27785" r="26673" t="36981"/>
                          <a:stretch>
                            <a:fillRect/>
                          </a:stretch>
                        </pic:blipFill>
                        <pic:spPr>
                          <a:xfrm>
                            <a:off x="0" y="0"/>
                            <a:ext cx="4324350" cy="199771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before="240" w:line="276" w:lineRule="auto"/>
              <w:jc w:val="both"/>
              <w:rPr>
                <w:rFonts w:ascii="Arial" w:cs="Arial" w:eastAsia="Arial" w:hAnsi="Arial"/>
                <w:i w:val="1"/>
                <w:color w:val="1f497d"/>
                <w:sz w:val="16"/>
                <w:szCs w:val="16"/>
              </w:rPr>
            </w:pPr>
            <w:r w:rsidDel="00000000" w:rsidR="00000000" w:rsidRPr="00000000">
              <w:rPr>
                <w:rFonts w:ascii="Arial" w:cs="Arial" w:eastAsia="Arial" w:hAnsi="Arial"/>
                <w:i w:val="1"/>
                <w:color w:val="1f497d"/>
                <w:sz w:val="16"/>
                <w:szCs w:val="16"/>
                <w:rtl w:val="0"/>
              </w:rPr>
              <w:t xml:space="preserve">Figura 1 RM: Grupo entrenamiento en Fuerza correspondiente a un porcentaje de la Repetición Máxima estimada; CO: Grupo de entrenamiento en Coordinación Dinámica General; AE: Grupo de entrenamiento en Ejercicio Físico Aeróbico correspondiente al 60% de la Frecuencia Cardiaca de Entrenamiento; CT: Grupo control que realizará ejercicios de flexibilidad.</w:t>
            </w:r>
          </w:p>
          <w:p w:rsidR="00000000" w:rsidDel="00000000" w:rsidP="00000000" w:rsidRDefault="00000000" w:rsidRPr="00000000" w14:paraId="00000090">
            <w:pPr>
              <w:spacing w:before="24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Cada sujeto que cumpla con los criterios de inclusión y que firme de manera voluntaria el consentimiento informado llegará al sitio de evaluación en horas de la mañana (7-10 am) (Lommatzsch et al., 2005) en donde serán tomadas mediciones Variables Fisiológicas (Frecuencia Cardiaca, Saturación de O2, Presión Arterial, Temperatura central y periférica), Antropométricas (Talla, Peso, IMC, Porcentaje Graso, Porcentaje Magro, Porcentaje Óseo); posterior a ello se remite al sujeto de estudio con el profesional de psicología quien realizará la valoración mediante las escalas de WAIS y PANAS las cuales reflejan Cognición (Atención, Memoria, Velocidad de Procesamiento), Estado de Ánimo(Tensión, Depresión, Fatiga, Hostilidad, Vigor, Confusión); luego al usuario se le realizará la toma de  Neurotrofinas en Sangre (BDNF </w:t>
            </w:r>
            <w:r w:rsidDel="00000000" w:rsidR="00000000" w:rsidRPr="00000000">
              <w:rPr>
                <w:rFonts w:ascii="Helvetica Neue" w:cs="Helvetica Neue" w:eastAsia="Helvetica Neue" w:hAnsi="Helvetica Neue"/>
                <w:color w:val="222222"/>
                <w:sz w:val="24"/>
                <w:szCs w:val="24"/>
                <w:rtl w:val="0"/>
              </w:rPr>
              <w:t xml:space="preserve"> </w:t>
            </w:r>
            <w:r w:rsidDel="00000000" w:rsidR="00000000" w:rsidRPr="00000000">
              <w:rPr>
                <w:rFonts w:ascii="Arial" w:cs="Arial" w:eastAsia="Arial" w:hAnsi="Arial"/>
                <w:color w:val="222222"/>
                <w:sz w:val="20"/>
                <w:szCs w:val="20"/>
                <w:rtl w:val="0"/>
              </w:rPr>
              <w:t xml:space="preserve">IGF-1 e IGFBP</w:t>
            </w:r>
            <w:r w:rsidDel="00000000" w:rsidR="00000000" w:rsidRPr="00000000">
              <w:rPr>
                <w:rFonts w:ascii="Arial" w:cs="Arial" w:eastAsia="Arial" w:hAnsi="Arial"/>
                <w:sz w:val="20"/>
                <w:szCs w:val="20"/>
                <w:rtl w:val="0"/>
              </w:rPr>
              <w:t xml:space="preserve">), conforme se pretende identificar línea de base (pre test). Posterior a dicho proceso los sujetos realizarán el calentamiento consistente en Ejercicios de movilidad articular y activación cardiovascular. Al final de este proceso, el sujeto desarrollará la sesión correspondiente la cual será asignada aleatoriamente en un grupo de intervención según sea RM, CO, AE o CT. Es importante aclarar que el usuario realizará una sola sesión por semana, para evitar efecto de arrastre y sesgo de la información. </w:t>
            </w:r>
          </w:p>
          <w:p w:rsidR="00000000" w:rsidDel="00000000" w:rsidP="00000000" w:rsidRDefault="00000000" w:rsidRPr="00000000" w14:paraId="00000091">
            <w:pPr>
              <w:spacing w:after="240" w:before="240" w:line="276" w:lineRule="auto"/>
              <w:ind w:left="72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CONSIDERACIONES ÉTICAS</w:t>
            </w:r>
          </w:p>
          <w:p w:rsidR="00000000" w:rsidDel="00000000" w:rsidP="00000000" w:rsidRDefault="00000000" w:rsidRPr="00000000" w14:paraId="00000092">
            <w:pPr>
              <w:spacing w:after="240" w:before="240" w:line="276" w:lineRule="auto"/>
              <w:ind w:left="720" w:hanging="1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Tabla 2. Consideraciones éticas</w:t>
            </w:r>
          </w:p>
          <w:tbl>
            <w:tblPr>
              <w:tblStyle w:val="Table10"/>
              <w:tblW w:w="14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25"/>
              <w:gridCol w:w="11100"/>
              <w:tblGridChange w:id="0">
                <w:tblGrid>
                  <w:gridCol w:w="3525"/>
                  <w:gridCol w:w="11100"/>
                </w:tblGrid>
              </w:tblGridChange>
            </w:tblGrid>
            <w:tr>
              <w:trPr>
                <w:trHeight w:val="62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spacing w:after="240" w:before="240" w:line="276" w:lineRule="auto"/>
                    <w:ind w:left="720" w:hanging="120"/>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INFORMACIÓN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spacing w:after="240" w:before="240" w:line="276" w:lineRule="auto"/>
                    <w:ind w:left="720" w:hanging="120"/>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DESCRIPCIÓN</w:t>
                  </w:r>
                </w:p>
              </w:tc>
            </w:tr>
            <w:tr>
              <w:trPr>
                <w:trHeight w:val="272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spacing w:before="240" w:line="276" w:lineRule="auto"/>
                    <w:ind w:left="0" w:firstLine="0"/>
                    <w:jc w:val="both"/>
                    <w:rPr>
                      <w:rFonts w:ascii="Arial" w:cs="Arial" w:eastAsia="Arial" w:hAnsi="Arial"/>
                      <w:b w:val="1"/>
                      <w:sz w:val="16"/>
                      <w:szCs w:val="16"/>
                      <w:highlight w:val="white"/>
                    </w:rPr>
                  </w:pPr>
                  <w:r w:rsidDel="00000000" w:rsidR="00000000" w:rsidRPr="00000000">
                    <w:rPr>
                      <w:rFonts w:ascii="Arial" w:cs="Arial" w:eastAsia="Arial" w:hAnsi="Arial"/>
                      <w:b w:val="1"/>
                      <w:sz w:val="16"/>
                      <w:szCs w:val="16"/>
                      <w:highlight w:val="white"/>
                      <w:rtl w:val="0"/>
                    </w:rPr>
                    <w:t xml:space="preserve">Instalaciones para el desarrollo del Proyecto</w:t>
                  </w:r>
                </w:p>
                <w:p w:rsidR="00000000" w:rsidDel="00000000" w:rsidP="00000000" w:rsidRDefault="00000000" w:rsidRPr="00000000" w14:paraId="00000096">
                  <w:pPr>
                    <w:spacing w:after="240" w:before="240" w:line="276" w:lineRule="auto"/>
                    <w:ind w:left="720" w:hanging="120"/>
                    <w:jc w:val="both"/>
                    <w:rPr>
                      <w:rFonts w:ascii="Arial" w:cs="Arial" w:eastAsia="Arial" w:hAnsi="Arial"/>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7">
                  <w:pPr>
                    <w:spacing w:before="240" w:line="27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Laboratorio Morfofuncional de la Universidad Santo Tomás - Campus San Alberto Magno, el cual para la fase experimental cuenta con los recursos específicos para el desarrollo de los protocolos de resistencia, coordinación así como los equipos e insumos tecnológicos para valoraciones antropométricas  y de condición física de los participantes. Por otra parte, en esta misma área se llevará a cabo el proceso de toma de muestras sanguíneas puesto que se cuenta con los elementos para el desarrollo de esto, así como los dispositivos para el tratamiento y ruta sanitaria para el manejo de desechos. </w:t>
                  </w:r>
                </w:p>
                <w:p w:rsidR="00000000" w:rsidDel="00000000" w:rsidP="00000000" w:rsidRDefault="00000000" w:rsidRPr="00000000" w14:paraId="00000098">
                  <w:pPr>
                    <w:spacing w:before="240"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Gimnasio del Campus San Alberto Magno dado que en este espacio se podrán realizar las ejecuciones del protocolo de fuerza con rigor científico y los insumos adecuados para la programación de esta modalidad. </w:t>
                  </w:r>
                </w:p>
                <w:p w:rsidR="00000000" w:rsidDel="00000000" w:rsidP="00000000" w:rsidRDefault="00000000" w:rsidRPr="00000000" w14:paraId="00000099">
                  <w:pPr>
                    <w:spacing w:before="240"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Cámara de Gesell del Laboratorio de Psicología ubicado en el Campus San Alberto Magno, la cual se encuentra adaptada para la aplicación de las pruebas psicológicas que se enfocarán en la medición del estado de ánimo y cognición de la población adulta mayor. </w:t>
                  </w:r>
                </w:p>
                <w:p w:rsidR="00000000" w:rsidDel="00000000" w:rsidP="00000000" w:rsidRDefault="00000000" w:rsidRPr="00000000" w14:paraId="0000009A">
                  <w:pPr>
                    <w:spacing w:before="240"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Laboratorio de biología molecular de la Universidad Distrital, en donde se llevará a cabo el tratamiento de las muestras ya que cuenta con equipo de congelación -80°C, equipo de Elisa para el procesamiento de las muestras, preparación y análisis de estas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trHeight w:val="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spacing w:after="240" w:before="240" w:line="276" w:lineRule="auto"/>
                    <w:ind w:left="0" w:firstLine="0"/>
                    <w:jc w:val="both"/>
                    <w:rPr>
                      <w:rFonts w:ascii="Arial" w:cs="Arial" w:eastAsia="Arial" w:hAnsi="Arial"/>
                      <w:sz w:val="16"/>
                      <w:szCs w:val="16"/>
                    </w:rPr>
                  </w:pPr>
                  <w:r w:rsidDel="00000000" w:rsidR="00000000" w:rsidRPr="00000000">
                    <w:rPr>
                      <w:rFonts w:ascii="Arial" w:cs="Arial" w:eastAsia="Arial" w:hAnsi="Arial"/>
                      <w:b w:val="1"/>
                      <w:sz w:val="16"/>
                      <w:szCs w:val="16"/>
                      <w:rtl w:val="0"/>
                    </w:rPr>
                    <w:t xml:space="preserve">Procedimientos para garantizar aspectos éticos en las investigaciones con sujetos humanos</w:t>
                  </w: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spacing w:after="240" w:before="240" w:line="276" w:lineRule="auto"/>
                    <w:ind w:left="0" w:firstLine="0"/>
                    <w:jc w:val="both"/>
                    <w:rPr>
                      <w:rFonts w:ascii="Arial" w:cs="Arial" w:eastAsia="Arial" w:hAnsi="Arial"/>
                      <w:b w:val="1"/>
                      <w:sz w:val="16"/>
                      <w:szCs w:val="16"/>
                      <w:u w:val="single"/>
                    </w:rPr>
                  </w:pPr>
                  <w:r w:rsidDel="00000000" w:rsidR="00000000" w:rsidRPr="00000000">
                    <w:rPr>
                      <w:rFonts w:ascii="Arial" w:cs="Arial" w:eastAsia="Arial" w:hAnsi="Arial"/>
                      <w:b w:val="1"/>
                      <w:sz w:val="16"/>
                      <w:szCs w:val="16"/>
                      <w:u w:val="single"/>
                      <w:rtl w:val="0"/>
                    </w:rPr>
                    <w:t xml:space="preserve">Beneficios: </w:t>
                  </w:r>
                </w:p>
                <w:p w:rsidR="00000000" w:rsidDel="00000000" w:rsidP="00000000" w:rsidRDefault="00000000" w:rsidRPr="00000000" w14:paraId="0000009D">
                  <w:pPr>
                    <w:spacing w:after="240" w:before="240" w:line="27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 partir de lo expuesto en el delineamiento conceptual se busca con la presente investigación comprender cómo incide la práctica del ejercicio físico en los niveles de memoria, cognición y velocidad de procesamiento; si bien es cierto, el estudio presentado por (Erickson &amp; Kramer, 2010), manifiestan las bondades de la realización de ejercicio físico aeróbico sobre la reversión del deterioro cognitivo, la capacidad para la ejecución adecuada en torno a las funciones mentales superiores y la optimización de la plasticidad neuronal en población adulta mayor. Para ello se busca Identificar en la fase aguda, qué modalidad de programación del entrenamiento (aeróbica, trabajo de fuerza o de coordinación) eleva de manera importante la concentración de proteínas neurotróficas en el cerebro, siendo esta una apuesta sobre la cual  población adulta mayor podría centrar sus procesos de trabajo de igual forma se busca relacionar el estado de ánimo con la adherencia del adulto mayor a programas de ejercicio físico en el tiempo. </w:t>
                  </w:r>
                </w:p>
                <w:p w:rsidR="00000000" w:rsidDel="00000000" w:rsidP="00000000" w:rsidRDefault="00000000" w:rsidRPr="00000000" w14:paraId="0000009E">
                  <w:pPr>
                    <w:spacing w:after="240" w:before="240" w:line="27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Otros beneficios que tendría la población participante y que están relacionados con las pautas 4 y 7 de las (CIOMS, 2017) serán:  </w:t>
                  </w:r>
                </w:p>
                <w:p w:rsidR="00000000" w:rsidDel="00000000" w:rsidP="00000000" w:rsidRDefault="00000000" w:rsidRPr="00000000" w14:paraId="0000009F">
                  <w:pPr>
                    <w:numPr>
                      <w:ilvl w:val="0"/>
                      <w:numId w:val="1"/>
                    </w:numPr>
                    <w:spacing w:after="0" w:before="240" w:line="276" w:lineRule="auto"/>
                    <w:ind w:left="720" w:hanging="360"/>
                    <w:jc w:val="both"/>
                    <w:rPr>
                      <w:rFonts w:ascii="Cambria" w:cs="Cambria" w:eastAsia="Cambria" w:hAnsi="Cambria"/>
                      <w:sz w:val="16"/>
                      <w:szCs w:val="16"/>
                    </w:rPr>
                  </w:pPr>
                  <w:r w:rsidDel="00000000" w:rsidR="00000000" w:rsidRPr="00000000">
                    <w:rPr>
                      <w:rFonts w:ascii="Arial" w:cs="Arial" w:eastAsia="Arial" w:hAnsi="Arial"/>
                      <w:sz w:val="16"/>
                      <w:szCs w:val="16"/>
                      <w:rtl w:val="0"/>
                    </w:rPr>
                    <w:t xml:space="preserve">Posibilidad de cada uno de los participantes de obtener retroalimentación al final de estudio frente a los resultados relacionados con su composición corporal, niveles de condición física y modulaciones de las neurotrofinas en correlación con la modalidad de programación del ejercicio físico aplicadas dentro del proyecto. La socialización de esta información se llevará a cabo de manera individual y los datos serán presentados por el profesional de psicología y el investigador principal del proyecto. </w:t>
                  </w:r>
                  <w:r w:rsidDel="00000000" w:rsidR="00000000" w:rsidRPr="00000000">
                    <w:rPr>
                      <w:rtl w:val="0"/>
                    </w:rPr>
                  </w:r>
                </w:p>
                <w:p w:rsidR="00000000" w:rsidDel="00000000" w:rsidP="00000000" w:rsidRDefault="00000000" w:rsidRPr="00000000" w14:paraId="000000A0">
                  <w:pPr>
                    <w:numPr>
                      <w:ilvl w:val="0"/>
                      <w:numId w:val="1"/>
                    </w:numPr>
                    <w:spacing w:before="0" w:line="276" w:lineRule="auto"/>
                    <w:ind w:left="720" w:hanging="36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Adicional a los beneficios individuales obtenidos, estos mismos trascienden al grupo de Adultos Mayores pertenecientes a la profundización de actividad física para la salud y a los estudiantes vinculados a esta profundización, puesto que se garantizarán intervenciones basadas en la evidencia científica, lo cual generará procesos de intervención y aprendizaje significativos.   </w:t>
                  </w:r>
                </w:p>
                <w:p w:rsidR="00000000" w:rsidDel="00000000" w:rsidP="00000000" w:rsidRDefault="00000000" w:rsidRPr="00000000" w14:paraId="000000A1">
                  <w:pPr>
                    <w:spacing w:after="240" w:before="240" w:line="276" w:lineRule="auto"/>
                    <w:ind w:left="0" w:firstLine="0"/>
                    <w:jc w:val="both"/>
                    <w:rPr>
                      <w:rFonts w:ascii="Arial" w:cs="Arial" w:eastAsia="Arial" w:hAnsi="Arial"/>
                      <w:sz w:val="16"/>
                      <w:szCs w:val="16"/>
                    </w:rPr>
                  </w:pPr>
                  <w:r w:rsidDel="00000000" w:rsidR="00000000" w:rsidRPr="00000000">
                    <w:rPr>
                      <w:rFonts w:ascii="Arial" w:cs="Arial" w:eastAsia="Arial" w:hAnsi="Arial"/>
                      <w:b w:val="1"/>
                      <w:sz w:val="16"/>
                      <w:szCs w:val="16"/>
                      <w:u w:val="single"/>
                      <w:rtl w:val="0"/>
                    </w:rPr>
                    <w:t xml:space="preserve">Riesgos Generales</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A2">
                  <w:pPr>
                    <w:spacing w:after="0" w:before="0" w:line="273.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Lesiones musculoesqueléticas inducidas por el ejercicio</w:t>
                  </w:r>
                </w:p>
                <w:p w:rsidR="00000000" w:rsidDel="00000000" w:rsidP="00000000" w:rsidRDefault="00000000" w:rsidRPr="00000000" w14:paraId="000000A3">
                  <w:pPr>
                    <w:spacing w:after="0" w:before="0" w:line="273.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Muerte súbita inducida por el ejercicio</w:t>
                  </w:r>
                </w:p>
                <w:p w:rsidR="00000000" w:rsidDel="00000000" w:rsidP="00000000" w:rsidRDefault="00000000" w:rsidRPr="00000000" w14:paraId="000000A4">
                  <w:pPr>
                    <w:spacing w:after="0" w:before="0" w:line="273.6" w:lineRule="auto"/>
                    <w:ind w:left="0" w:firstLine="0"/>
                    <w:jc w:val="both"/>
                    <w:rPr>
                      <w:rFonts w:ascii="Arial" w:cs="Arial" w:eastAsia="Arial" w:hAnsi="Arial"/>
                      <w:b w:val="1"/>
                      <w:sz w:val="16"/>
                      <w:szCs w:val="16"/>
                      <w:u w:val="single"/>
                    </w:rPr>
                  </w:pPr>
                  <w:r w:rsidDel="00000000" w:rsidR="00000000" w:rsidRPr="00000000">
                    <w:rPr>
                      <w:rtl w:val="0"/>
                    </w:rPr>
                  </w:r>
                </w:p>
                <w:p w:rsidR="00000000" w:rsidDel="00000000" w:rsidP="00000000" w:rsidRDefault="00000000" w:rsidRPr="00000000" w14:paraId="000000A5">
                  <w:pPr>
                    <w:spacing w:after="0" w:before="0" w:line="273.6" w:lineRule="auto"/>
                    <w:ind w:left="0" w:firstLine="0"/>
                    <w:jc w:val="both"/>
                    <w:rPr>
                      <w:rFonts w:ascii="Arial" w:cs="Arial" w:eastAsia="Arial" w:hAnsi="Arial"/>
                      <w:b w:val="1"/>
                      <w:sz w:val="16"/>
                      <w:szCs w:val="16"/>
                      <w:u w:val="single"/>
                    </w:rPr>
                  </w:pPr>
                  <w:r w:rsidDel="00000000" w:rsidR="00000000" w:rsidRPr="00000000">
                    <w:rPr>
                      <w:rFonts w:ascii="Arial" w:cs="Arial" w:eastAsia="Arial" w:hAnsi="Arial"/>
                      <w:b w:val="1"/>
                      <w:sz w:val="16"/>
                      <w:szCs w:val="16"/>
                      <w:u w:val="single"/>
                      <w:rtl w:val="0"/>
                    </w:rPr>
                    <w:t xml:space="preserve">Riesgos frente a la venopunción:</w:t>
                  </w:r>
                </w:p>
                <w:p w:rsidR="00000000" w:rsidDel="00000000" w:rsidP="00000000" w:rsidRDefault="00000000" w:rsidRPr="00000000" w14:paraId="000000A6">
                  <w:pPr>
                    <w:spacing w:after="0" w:before="0" w:line="273.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Molestia en el punto de la punción </w:t>
                  </w:r>
                </w:p>
                <w:p w:rsidR="00000000" w:rsidDel="00000000" w:rsidP="00000000" w:rsidRDefault="00000000" w:rsidRPr="00000000" w14:paraId="000000A7">
                  <w:pPr>
                    <w:spacing w:after="0" w:before="0" w:line="273.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Pequeño sangrado en pacientes con alteraciones de la coagulación </w:t>
                  </w:r>
                </w:p>
                <w:p w:rsidR="00000000" w:rsidDel="00000000" w:rsidP="00000000" w:rsidRDefault="00000000" w:rsidRPr="00000000" w14:paraId="000000A8">
                  <w:pPr>
                    <w:spacing w:after="0" w:before="0" w:line="273.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Hematoma en la zona de la punción </w:t>
                  </w:r>
                </w:p>
                <w:p w:rsidR="00000000" w:rsidDel="00000000" w:rsidP="00000000" w:rsidRDefault="00000000" w:rsidRPr="00000000" w14:paraId="000000A9">
                  <w:pPr>
                    <w:spacing w:after="0" w:before="0" w:line="273.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Flebitis (inflamación/infección de la vena utilizada en la punción) </w:t>
                  </w:r>
                </w:p>
              </w:tc>
            </w:tr>
            <w:tr>
              <w:trPr>
                <w:trHeight w:val="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spacing w:after="240" w:before="240" w:line="276" w:lineRule="auto"/>
                    <w:ind w:left="0" w:firstLine="0"/>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Marco Legal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spacing w:after="240" w:before="240"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Resolución 13434 de 1991 en su artículo 1 donde se respeta la voluntad de participar o no por parte de los pacientes en investigaciones científicas. A la vez que el paciente debe estar enterado de los objetivos, métodos riesgos previsibles, beneficios e incomodidades.</w:t>
                  </w:r>
                </w:p>
                <w:p w:rsidR="00000000" w:rsidDel="00000000" w:rsidP="00000000" w:rsidRDefault="00000000" w:rsidRPr="00000000" w14:paraId="000000AC">
                  <w:pPr>
                    <w:spacing w:after="240" w:before="240"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Resolución 008430 de 1993, artículo 5 la cual indica “En toda investigación en la que el ser humano sea sujeto de estudio, deberá prevalecer el criterio del respeto a su dignidad y la protección de sus derechos y su bienestar”. </w:t>
                  </w:r>
                </w:p>
                <w:p w:rsidR="00000000" w:rsidDel="00000000" w:rsidP="00000000" w:rsidRDefault="00000000" w:rsidRPr="00000000" w14:paraId="000000AD">
                  <w:pPr>
                    <w:spacing w:after="240" w:before="240" w:line="276" w:lineRule="auto"/>
                    <w:ind w:left="0" w:firstLine="0"/>
                    <w:jc w:val="both"/>
                    <w:rPr>
                      <w:rFonts w:ascii="Arial" w:cs="Arial" w:eastAsia="Arial" w:hAnsi="Arial"/>
                      <w:b w:val="1"/>
                      <w:sz w:val="16"/>
                      <w:szCs w:val="16"/>
                      <w:u w:val="single"/>
                    </w:rPr>
                  </w:pPr>
                  <w:r w:rsidDel="00000000" w:rsidR="00000000" w:rsidRPr="00000000">
                    <w:rPr>
                      <w:rFonts w:ascii="Arial" w:cs="Arial" w:eastAsia="Arial" w:hAnsi="Arial"/>
                      <w:sz w:val="16"/>
                      <w:szCs w:val="16"/>
                      <w:rtl w:val="0"/>
                    </w:rPr>
                    <w:t xml:space="preserve">Resolución 008430 de 1993, artículo 14 del capítulo 1, donde se resalta la importancia inicial del consentimiento informado firmado por el participante sujeto de estudio quien conoce a fondo la naturaleza de la investigación, procedimientos, riesgos y beneficios de la misma.</w:t>
                  </w:r>
                  <w:r w:rsidDel="00000000" w:rsidR="00000000" w:rsidRPr="00000000">
                    <w:rPr>
                      <w:rFonts w:ascii="Arial" w:cs="Arial" w:eastAsia="Arial" w:hAnsi="Arial"/>
                      <w:b w:val="1"/>
                      <w:sz w:val="16"/>
                      <w:szCs w:val="16"/>
                      <w:u w:val="single"/>
                      <w:rtl w:val="0"/>
                    </w:rPr>
                    <w:t xml:space="preserve"> </w:t>
                  </w:r>
                </w:p>
                <w:p w:rsidR="00000000" w:rsidDel="00000000" w:rsidP="00000000" w:rsidRDefault="00000000" w:rsidRPr="00000000" w14:paraId="000000AE">
                  <w:pPr>
                    <w:spacing w:after="240" w:before="240" w:line="27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El manejo de la confidencialidad de los datos se acoge a los principios fundamentales  dados en la Declaración Universal sobre Bioética y        </w:t>
                    <w:tab/>
                    <w:t xml:space="preserve"> Derechos Humanos (UNESCO, 2005), en el Artículo 9, el cual presenta indicaciones frente a la confidencialidad y privacidad de los datos de los participantes, por lo que se acogerá el formato de confidencialidad firmado por los investigadores del proyecto a fin de evitar el mal manejo, distorsión o divulgación de la información.</w:t>
                  </w:r>
                </w:p>
                <w:p w:rsidR="00000000" w:rsidDel="00000000" w:rsidP="00000000" w:rsidRDefault="00000000" w:rsidRPr="00000000" w14:paraId="000000AF">
                  <w:pPr>
                    <w:spacing w:after="0" w:before="0" w:line="273.6" w:lineRule="auto"/>
                    <w:ind w:left="0" w:firstLine="0"/>
                    <w:jc w:val="both"/>
                    <w:rPr>
                      <w:rFonts w:ascii="Times New Roman" w:cs="Times New Roman" w:eastAsia="Times New Roman" w:hAnsi="Times New Roman"/>
                      <w:sz w:val="24"/>
                      <w:szCs w:val="24"/>
                      <w:highlight w:val="yellow"/>
                    </w:rPr>
                  </w:pPr>
                  <w:r w:rsidDel="00000000" w:rsidR="00000000" w:rsidRPr="00000000">
                    <w:rPr>
                      <w:rFonts w:ascii="Arial" w:cs="Arial" w:eastAsia="Arial" w:hAnsi="Arial"/>
                      <w:sz w:val="16"/>
                      <w:szCs w:val="16"/>
                      <w:rtl w:val="0"/>
                    </w:rPr>
                    <w:t xml:space="preserve">Resolución N.º 008430 de 1993 (4 de octubre de 1993 artículo 11), por cuanto al realizar venopunciones se extrae aproximadamente un total de 20 ml de sangre total en cinco tubos de 5ml en el momento de la realización de una única prueba de esfuerzo. Sin embargo, la prueba de esfuerzo requiere llegar a intensidades de moderadas a altas; razón por la cual se integra en el marco de Investigación con Riesgo Mayor al Mínimo de la misma resolución. </w:t>
                  </w:r>
                  <w:r w:rsidDel="00000000" w:rsidR="00000000" w:rsidRPr="00000000">
                    <w:rPr>
                      <w:rFonts w:ascii="Times New Roman" w:cs="Times New Roman" w:eastAsia="Times New Roman" w:hAnsi="Times New Roman"/>
                      <w:sz w:val="24"/>
                      <w:szCs w:val="24"/>
                      <w:highlight w:val="yellow"/>
                      <w:rtl w:val="0"/>
                    </w:rPr>
                    <w:t xml:space="preserve"> </w:t>
                  </w:r>
                </w:p>
              </w:tc>
            </w:tr>
            <w:tr>
              <w:trPr>
                <w:trHeight w:val="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spacing w:after="240" w:before="240" w:line="276" w:lineRule="auto"/>
                    <w:ind w:left="0" w:firstLine="0"/>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Manejo y confidencialidad de la Información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spacing w:before="240" w:line="276"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Se garantizará la confidencialidad de las muestras pues serán codificadas con un número arbitrario diferenciado de la cédula de ciudadanía y el nombre del participante, de igual manera la investigación en curso es regida bajo los principios éticos planteados en la declaración de Helsinki y dentro de la legislación colombiana bajo el código de ética (ley 23 del 18 de febrero de 1981) y su decreto reglamentario número 3380 del 30 de noviembre de 1981, además de la resolución 13437 de 1991 del Ministerio de Salud Pública, por la cual se adopta el Decálogo de Derechos de los Pacientes aprobado por la Asociación Médica Mundial en Lisboa en 1981. </w:t>
                  </w:r>
                </w:p>
                <w:p w:rsidR="00000000" w:rsidDel="00000000" w:rsidP="00000000" w:rsidRDefault="00000000" w:rsidRPr="00000000" w14:paraId="000000B2">
                  <w:pPr>
                    <w:spacing w:after="240" w:before="240" w:line="27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De acuerdo con la Ley 1581 de 2012, el Decreto Reglamentario 1377 de 2013, la Circular Externa 002 de 2015 expedida por la Superintendencia de Industria y Comercio, la política interna de manejo de la información, se anexará dentro del consentimiento informado este apartado para garantizar la privacidad y confidencialidad de los datos de los usuarios participantes. </w:t>
                  </w:r>
                </w:p>
                <w:p w:rsidR="00000000" w:rsidDel="00000000" w:rsidP="00000000" w:rsidRDefault="00000000" w:rsidRPr="00000000" w14:paraId="000000B3">
                  <w:pPr>
                    <w:spacing w:after="240" w:before="240" w:line="276"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Resolución 008430 artículo 14, la cual declara “el sujeto de investigación o en su caso, su representante legal, autoriza su participación en la investigación, con pleno conocimiento de la naturaleza de los procedimientos, beneficios y riesgos a que se someterá, con la capacidad de libre elección y sin coacción alguna”</w:t>
                  </w:r>
                </w:p>
              </w:tc>
            </w:tr>
            <w:tr>
              <w:trPr>
                <w:trHeight w:val="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spacing w:after="240" w:before="240" w:line="276" w:lineRule="auto"/>
                    <w:ind w:left="0" w:firstLine="0"/>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Conflicto de Interés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spacing w:before="240" w:line="276" w:lineRule="auto"/>
                    <w:jc w:val="both"/>
                    <w:rPr>
                      <w:rFonts w:ascii="Times New Roman" w:cs="Times New Roman" w:eastAsia="Times New Roman" w:hAnsi="Times New Roman"/>
                      <w:sz w:val="24"/>
                      <w:szCs w:val="24"/>
                      <w:highlight w:val="yellow"/>
                    </w:rPr>
                  </w:pPr>
                  <w:r w:rsidDel="00000000" w:rsidR="00000000" w:rsidRPr="00000000">
                    <w:rPr>
                      <w:rFonts w:ascii="Arial" w:cs="Arial" w:eastAsia="Arial" w:hAnsi="Arial"/>
                      <w:sz w:val="16"/>
                      <w:szCs w:val="16"/>
                      <w:rtl w:val="0"/>
                    </w:rPr>
                    <w:t xml:space="preserve">Los autores del presente proyecto declaran que para la ejecución del mismo no han recibido ningún beneficio económico o político por parte de alguna institución universitaria, laboratorio o entidad farmacéutica que pueda afectar la objetividad en el desarrollo de la presente investigación. De la misma manera y en concordancia con lo establecido por la Guía de Pautas éticas internacionales para la investigación relacionada con la salud en seres humanos (CIOMS, 2017), pauta numeral 25, los investigadores indican que no existen conflictos de interés académico con otras instituciones que puedan afectar de manera directa la idea desarrollada o los resultados a obtener.</w:t>
                  </w:r>
                  <w:r w:rsidDel="00000000" w:rsidR="00000000" w:rsidRPr="00000000">
                    <w:rPr>
                      <w:rFonts w:ascii="Times New Roman" w:cs="Times New Roman" w:eastAsia="Times New Roman" w:hAnsi="Times New Roman"/>
                      <w:sz w:val="24"/>
                      <w:szCs w:val="24"/>
                      <w:highlight w:val="yellow"/>
                      <w:rtl w:val="0"/>
                    </w:rPr>
                    <w:t xml:space="preserve">  </w:t>
                  </w:r>
                </w:p>
                <w:p w:rsidR="00000000" w:rsidDel="00000000" w:rsidP="00000000" w:rsidRDefault="00000000" w:rsidRPr="00000000" w14:paraId="000000B6">
                  <w:pPr>
                    <w:spacing w:before="240" w:line="276" w:lineRule="auto"/>
                    <w:jc w:val="both"/>
                    <w:rPr>
                      <w:rFonts w:ascii="Arial" w:cs="Arial" w:eastAsia="Arial" w:hAnsi="Arial"/>
                      <w:sz w:val="16"/>
                      <w:szCs w:val="16"/>
                    </w:rPr>
                  </w:pPr>
                  <w:r w:rsidDel="00000000" w:rsidR="00000000" w:rsidRPr="00000000">
                    <w:rPr>
                      <w:rtl w:val="0"/>
                    </w:rPr>
                  </w:r>
                </w:p>
              </w:tc>
            </w:tr>
          </w:tbl>
          <w:p w:rsidR="00000000" w:rsidDel="00000000" w:rsidP="00000000" w:rsidRDefault="00000000" w:rsidRPr="00000000" w14:paraId="000000B7">
            <w:pPr>
              <w:spacing w:after="240" w:before="24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spacing w:after="240" w:before="240" w:line="276" w:lineRule="auto"/>
              <w:jc w:val="both"/>
              <w:rPr>
                <w:rFonts w:ascii="Arial" w:cs="Arial" w:eastAsia="Arial" w:hAnsi="Arial"/>
                <w:sz w:val="20"/>
                <w:szCs w:val="20"/>
              </w:rPr>
            </w:pP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B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Resultados esperados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BA">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BB">
            <w:pPr>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 Producto de generación de nuevo conocimiento:  ART_B (Q3)</w:t>
            </w:r>
          </w:p>
          <w:p w:rsidR="00000000" w:rsidDel="00000000" w:rsidP="00000000" w:rsidRDefault="00000000" w:rsidRPr="00000000" w14:paraId="000000BC">
            <w:pPr>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 Producto de apropiación social y circulación de conocimiento: Circulación de conocimiento especializado EC_A</w:t>
            </w:r>
          </w:p>
          <w:p w:rsidR="00000000" w:rsidDel="00000000" w:rsidP="00000000" w:rsidRDefault="00000000" w:rsidRPr="00000000" w14:paraId="000000BD">
            <w:pPr>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 Trabajos de grado de pregrado (Formación de recurso humano)</w:t>
            </w:r>
          </w:p>
        </w:tc>
      </w:tr>
    </w:tbl>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Cronograma 2020</w:t>
      </w:r>
    </w:p>
    <w:p w:rsidR="00000000" w:rsidDel="00000000" w:rsidP="00000000" w:rsidRDefault="00000000" w:rsidRPr="00000000" w14:paraId="000000C1">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2">
      <w:pPr>
        <w:spacing w:after="0" w:line="240" w:lineRule="auto"/>
        <w:rPr>
          <w:rFonts w:ascii="Times New Roman" w:cs="Times New Roman" w:eastAsia="Times New Roman" w:hAnsi="Times New Roman"/>
          <w:b w:val="1"/>
          <w:sz w:val="24"/>
          <w:szCs w:val="24"/>
        </w:rPr>
      </w:pPr>
      <w:r w:rsidDel="00000000" w:rsidR="00000000" w:rsidRPr="00000000">
        <w:rPr>
          <w:rtl w:val="0"/>
        </w:rPr>
      </w:r>
    </w:p>
    <w:tbl>
      <w:tblPr>
        <w:tblStyle w:val="Table11"/>
        <w:tblW w:w="880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75"/>
        <w:gridCol w:w="870"/>
        <w:gridCol w:w="690"/>
        <w:gridCol w:w="675"/>
        <w:gridCol w:w="795"/>
        <w:gridCol w:w="750"/>
        <w:gridCol w:w="750"/>
        <w:gridCol w:w="705"/>
        <w:gridCol w:w="735"/>
        <w:gridCol w:w="795"/>
        <w:gridCol w:w="765"/>
        <w:tblGridChange w:id="0">
          <w:tblGrid>
            <w:gridCol w:w="1275"/>
            <w:gridCol w:w="870"/>
            <w:gridCol w:w="690"/>
            <w:gridCol w:w="675"/>
            <w:gridCol w:w="795"/>
            <w:gridCol w:w="750"/>
            <w:gridCol w:w="750"/>
            <w:gridCol w:w="705"/>
            <w:gridCol w:w="735"/>
            <w:gridCol w:w="795"/>
            <w:gridCol w:w="765"/>
          </w:tblGrid>
        </w:tblGridChange>
      </w:tblGrid>
      <w:tr>
        <w:trPr>
          <w:trHeight w:val="860" w:hRule="atLeast"/>
        </w:trPr>
        <w:tc>
          <w:tcPr>
            <w:tcBorders>
              <w:top w:color="000000" w:space="0" w:sz="8" w:val="single"/>
              <w:left w:color="000000" w:space="0" w:sz="8" w:val="single"/>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3">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FASE</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4">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FEB</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5">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MAR</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6">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AB</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7">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MAY</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8">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JUN</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9">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JUL</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A">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AG</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B">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SEP</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C">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OCT</w:t>
            </w:r>
          </w:p>
        </w:tc>
        <w:tc>
          <w:tcPr>
            <w:tcBorders>
              <w:top w:color="000000" w:space="0" w:sz="8" w:val="single"/>
              <w:left w:color="000000" w:space="0" w:sz="0" w:val="nil"/>
              <w:bottom w:color="000000" w:space="0" w:sz="8" w:val="single"/>
              <w:right w:color="000000" w:space="0" w:sz="8" w:val="single"/>
            </w:tcBorders>
            <w:shd w:fill="bfbfbf" w:val="clear"/>
            <w:tcMar>
              <w:top w:w="100.0" w:type="dxa"/>
              <w:left w:w="100.0" w:type="dxa"/>
              <w:bottom w:w="100.0" w:type="dxa"/>
              <w:right w:w="100.0" w:type="dxa"/>
            </w:tcMar>
            <w:vAlign w:val="top"/>
          </w:tcPr>
          <w:p w:rsidR="00000000" w:rsidDel="00000000" w:rsidP="00000000" w:rsidRDefault="00000000" w:rsidRPr="00000000" w14:paraId="000000CD">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NOV</w:t>
            </w:r>
          </w:p>
        </w:tc>
      </w:tr>
      <w:tr>
        <w:trPr>
          <w:trHeight w:val="4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Capacitación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X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5">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Selección de la población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C">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2">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3">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trHeight w:val="7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Aplicación de Criterios de Inclusión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5">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7">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9">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A">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D">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E">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F">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Pilotaje de Protocolos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0">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1">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2">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3">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4">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5">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9">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trHeight w:val="116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Firma de actas de inicio y legalización de documentos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B">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C">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F">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0">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1">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2">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3">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4">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trHeight w:val="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5">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Fase experimental ejercicio agudo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6">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7">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8">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9">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A">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B">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C">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D">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E">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F">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trHeight w:val="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0">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Análisis de muestras de Laboratorio ELISA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1">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2">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3">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4">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5">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6">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X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7">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X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8">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9">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A">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B">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Análisis bases de datos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D">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E">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F">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0">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1">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3">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4">
            <w:pPr>
              <w:spacing w:after="0" w:line="240" w:lineRule="auto"/>
              <w:jc w:val="center"/>
              <w:rPr>
                <w:rFonts w:ascii="Arial" w:cs="Arial" w:eastAsia="Arial" w:hAnsi="Arial"/>
                <w:b w:val="1"/>
                <w:sz w:val="16"/>
                <w:szCs w:val="16"/>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trHeight w:val="6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6">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Socialización de Resultados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7">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9">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A">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B">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C">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D">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E">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F">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X</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0">
            <w:pPr>
              <w:spacing w:after="0" w:line="240" w:lineRule="auto"/>
              <w:jc w:val="center"/>
              <w:rPr>
                <w:rFonts w:ascii="Arial" w:cs="Arial" w:eastAsia="Arial" w:hAnsi="Arial"/>
                <w:b w:val="1"/>
                <w:sz w:val="16"/>
                <w:szCs w:val="16"/>
              </w:rPr>
            </w:pPr>
            <w:r w:rsidDel="00000000" w:rsidR="00000000" w:rsidRPr="00000000">
              <w:rPr>
                <w:rtl w:val="0"/>
              </w:rPr>
            </w:r>
          </w:p>
        </w:tc>
      </w:tr>
      <w:tr>
        <w:trPr>
          <w:trHeight w:val="4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1">
            <w:pPr>
              <w:spacing w:after="0" w:lin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Informe Final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2">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3">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4">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5">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6">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7">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8">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9">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A">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3B">
            <w:pPr>
              <w:spacing w:after="0"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X</w:t>
            </w:r>
          </w:p>
        </w:tc>
      </w:tr>
    </w:tbl>
    <w:p w:rsidR="00000000" w:rsidDel="00000000" w:rsidP="00000000" w:rsidRDefault="00000000" w:rsidRPr="00000000" w14:paraId="0000013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F">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2"/>
        <w:tblW w:w="14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4"/>
        <w:gridCol w:w="2106"/>
        <w:gridCol w:w="6830"/>
        <w:gridCol w:w="1275"/>
        <w:gridCol w:w="1843"/>
        <w:gridCol w:w="1570"/>
        <w:tblGridChange w:id="0">
          <w:tblGrid>
            <w:gridCol w:w="1124"/>
            <w:gridCol w:w="2106"/>
            <w:gridCol w:w="6830"/>
            <w:gridCol w:w="1275"/>
            <w:gridCol w:w="1843"/>
            <w:gridCol w:w="1570"/>
          </w:tblGrid>
        </w:tblGridChange>
      </w:tblGrid>
      <w:tr>
        <w:trPr>
          <w:trHeight w:val="360" w:hRule="atLeast"/>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40">
            <w:pPr>
              <w:ind w:left="-108" w:right="-108"/>
              <w:jc w:val="center"/>
              <w:rPr>
                <w:b w:val="1"/>
                <w:sz w:val="20"/>
                <w:szCs w:val="20"/>
              </w:rPr>
            </w:pPr>
            <w:r w:rsidDel="00000000" w:rsidR="00000000" w:rsidRPr="00000000">
              <w:rPr>
                <w:b w:val="1"/>
                <w:sz w:val="16"/>
                <w:szCs w:val="16"/>
                <w:rtl w:val="0"/>
              </w:rPr>
              <w:t xml:space="preserve">FINANCIACIÓN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41">
            <w:pPr>
              <w:jc w:val="center"/>
              <w:rPr>
                <w:b w:val="1"/>
                <w:sz w:val="20"/>
                <w:szCs w:val="20"/>
              </w:rPr>
            </w:pPr>
            <w:r w:rsidDel="00000000" w:rsidR="00000000" w:rsidRPr="00000000">
              <w:rPr>
                <w:b w:val="1"/>
                <w:sz w:val="20"/>
                <w:szCs w:val="20"/>
                <w:rtl w:val="0"/>
              </w:rPr>
              <w:t xml:space="preserve">RECURSO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42">
            <w:pPr>
              <w:jc w:val="center"/>
              <w:rPr>
                <w:b w:val="1"/>
                <w:sz w:val="20"/>
                <w:szCs w:val="20"/>
              </w:rPr>
            </w:pPr>
            <w:r w:rsidDel="00000000" w:rsidR="00000000" w:rsidRPr="00000000">
              <w:rPr>
                <w:b w:val="1"/>
                <w:sz w:val="20"/>
                <w:szCs w:val="20"/>
                <w:rtl w:val="0"/>
              </w:rPr>
              <w:t xml:space="preserve">DESCRIPCIÓN</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43">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Valor partida</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44">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Valor contrapartida (Externa)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45">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Total ($)</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jc w:val="center"/>
              <w:rPr>
                <w:b w:val="1"/>
                <w:sz w:val="20"/>
                <w:szCs w:val="20"/>
              </w:rPr>
            </w:pPr>
            <w:r w:rsidDel="00000000" w:rsidR="00000000" w:rsidRPr="00000000">
              <w:rPr>
                <w:b w:val="1"/>
                <w:sz w:val="20"/>
                <w:szCs w:val="20"/>
                <w:rtl w:val="0"/>
              </w:rPr>
              <w:t xml:space="preserve">RUBROS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jc w:val="both"/>
              <w:rPr>
                <w:b w:val="1"/>
                <w:sz w:val="20"/>
                <w:szCs w:val="20"/>
              </w:rPr>
            </w:pPr>
            <w:r w:rsidDel="00000000" w:rsidR="00000000" w:rsidRPr="00000000">
              <w:rPr>
                <w:b w:val="1"/>
                <w:sz w:val="20"/>
                <w:szCs w:val="20"/>
                <w:rtl w:val="0"/>
              </w:rPr>
              <w:t xml:space="preserve">Servicios Técnicos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jc w:val="both"/>
              <w:rPr>
                <w:b w:val="1"/>
                <w:sz w:val="20"/>
                <w:szCs w:val="20"/>
              </w:rPr>
            </w:pPr>
            <w:r w:rsidDel="00000000" w:rsidR="00000000" w:rsidRPr="00000000">
              <w:rPr>
                <w:b w:val="1"/>
                <w:sz w:val="20"/>
                <w:szCs w:val="20"/>
                <w:rtl w:val="0"/>
              </w:rPr>
              <w:t xml:space="preserve">Salidas de campo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3">
            <w:pPr>
              <w:jc w:val="both"/>
              <w:rPr>
                <w:b w:val="1"/>
                <w:sz w:val="20"/>
                <w:szCs w:val="20"/>
              </w:rPr>
            </w:pPr>
            <w:r w:rsidDel="00000000" w:rsidR="00000000" w:rsidRPr="00000000">
              <w:rPr>
                <w:b w:val="1"/>
                <w:sz w:val="20"/>
                <w:szCs w:val="20"/>
                <w:rtl w:val="0"/>
              </w:rPr>
              <w:t xml:space="preserve">Equipos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4">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7">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jc w:val="both"/>
              <w:rPr>
                <w:b w:val="1"/>
                <w:sz w:val="20"/>
                <w:szCs w:val="20"/>
              </w:rPr>
            </w:pPr>
            <w:r w:rsidDel="00000000" w:rsidR="00000000" w:rsidRPr="00000000">
              <w:rPr>
                <w:b w:val="1"/>
                <w:sz w:val="20"/>
                <w:szCs w:val="20"/>
                <w:rtl w:val="0"/>
              </w:rPr>
              <w:t xml:space="preserve">Materiales, insumos y software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A">
            <w:pPr>
              <w:rPr>
                <w:color w:val="222222"/>
                <w:sz w:val="20"/>
                <w:szCs w:val="20"/>
              </w:rPr>
            </w:pPr>
            <w:r w:rsidDel="00000000" w:rsidR="00000000" w:rsidRPr="00000000">
              <w:rPr>
                <w:sz w:val="20"/>
                <w:szCs w:val="20"/>
                <w:rtl w:val="0"/>
              </w:rPr>
              <w:t xml:space="preserve">3 Kits ELISA para IGF1 e </w:t>
            </w:r>
            <w:r w:rsidDel="00000000" w:rsidR="00000000" w:rsidRPr="00000000">
              <w:rPr>
                <w:color w:val="222222"/>
                <w:sz w:val="20"/>
                <w:szCs w:val="20"/>
                <w:rtl w:val="0"/>
              </w:rPr>
              <w:t xml:space="preserve">IGFBP</w:t>
            </w:r>
          </w:p>
          <w:p w:rsidR="00000000" w:rsidDel="00000000" w:rsidP="00000000" w:rsidRDefault="00000000" w:rsidRPr="00000000" w14:paraId="0000015B">
            <w:pPr>
              <w:rPr>
                <w:sz w:val="20"/>
                <w:szCs w:val="20"/>
              </w:rPr>
            </w:pPr>
            <w:r w:rsidDel="00000000" w:rsidR="00000000" w:rsidRPr="00000000">
              <w:rPr>
                <w:sz w:val="20"/>
                <w:szCs w:val="20"/>
                <w:rtl w:val="0"/>
              </w:rPr>
              <w:t xml:space="preserve"> material para la venopunción</w:t>
            </w:r>
          </w:p>
          <w:p w:rsidR="00000000" w:rsidDel="00000000" w:rsidP="00000000" w:rsidRDefault="00000000" w:rsidRPr="00000000" w14:paraId="0000015C">
            <w:pPr>
              <w:rPr>
                <w:sz w:val="20"/>
                <w:szCs w:val="20"/>
              </w:rPr>
            </w:pPr>
            <w:r w:rsidDel="00000000" w:rsidR="00000000" w:rsidRPr="00000000">
              <w:rPr>
                <w:sz w:val="20"/>
                <w:szCs w:val="20"/>
                <w:rtl w:val="0"/>
              </w:rPr>
              <w:t xml:space="preserve">Insumos de Laboratorio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jc w:val="both"/>
              <w:rPr>
                <w:sz w:val="20"/>
                <w:szCs w:val="20"/>
              </w:rPr>
            </w:pPr>
            <w:r w:rsidDel="00000000" w:rsidR="00000000" w:rsidRPr="00000000">
              <w:rPr>
                <w:sz w:val="20"/>
                <w:szCs w:val="20"/>
                <w:rtl w:val="0"/>
              </w:rPr>
              <w:t xml:space="preserve">$20.000.000</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jc w:val="center"/>
              <w:rPr>
                <w:b w:val="1"/>
                <w:sz w:val="20"/>
                <w:szCs w:val="20"/>
              </w:rPr>
            </w:pPr>
            <w:r w:rsidDel="00000000" w:rsidR="00000000" w:rsidRPr="00000000">
              <w:rPr>
                <w:b w:val="1"/>
                <w:sz w:val="20"/>
                <w:szCs w:val="20"/>
                <w:rtl w:val="0"/>
              </w:rPr>
              <w:t xml:space="preserve">BOLSAS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jc w:val="both"/>
              <w:rPr>
                <w:b w:val="1"/>
                <w:sz w:val="20"/>
                <w:szCs w:val="20"/>
              </w:rPr>
            </w:pPr>
            <w:r w:rsidDel="00000000" w:rsidR="00000000" w:rsidRPr="00000000">
              <w:rPr>
                <w:b w:val="1"/>
                <w:sz w:val="20"/>
                <w:szCs w:val="20"/>
                <w:rtl w:val="0"/>
              </w:rPr>
              <w:t xml:space="preserve">Papelería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2">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5">
            <w:pPr>
              <w:jc w:val="both"/>
              <w:rPr>
                <w:sz w:val="20"/>
                <w:szCs w:val="20"/>
              </w:rPr>
            </w:pPr>
            <w:r w:rsidDel="00000000" w:rsidR="00000000" w:rsidRPr="00000000">
              <w:rPr>
                <w:rtl w:val="0"/>
              </w:rPr>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jc w:val="both"/>
              <w:rPr>
                <w:b w:val="1"/>
                <w:sz w:val="20"/>
                <w:szCs w:val="20"/>
              </w:rPr>
            </w:pPr>
            <w:r w:rsidDel="00000000" w:rsidR="00000000" w:rsidRPr="00000000">
              <w:rPr>
                <w:b w:val="1"/>
                <w:sz w:val="20"/>
                <w:szCs w:val="20"/>
                <w:rtl w:val="0"/>
              </w:rPr>
              <w:t xml:space="preserve">Fotocopias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8">
            <w:pPr>
              <w:rPr>
                <w:sz w:val="20"/>
                <w:szCs w:val="20"/>
              </w:rPr>
            </w:pPr>
            <w:r w:rsidDel="00000000" w:rsidR="00000000" w:rsidRPr="00000000">
              <w:rPr>
                <w:sz w:val="20"/>
                <w:szCs w:val="20"/>
                <w:rtl w:val="0"/>
              </w:rPr>
              <w:t xml:space="preserve">Consentimientos informados, formatos de historia clínica, formatos de registro de mediciones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jc w:val="both"/>
              <w:rPr>
                <w:sz w:val="20"/>
                <w:szCs w:val="20"/>
              </w:rPr>
            </w:pPr>
            <w:r w:rsidDel="00000000" w:rsidR="00000000" w:rsidRPr="00000000">
              <w:rPr>
                <w:sz w:val="20"/>
                <w:szCs w:val="20"/>
                <w:rtl w:val="0"/>
              </w:rPr>
              <w:t xml:space="preserve">$500.000</w:t>
            </w:r>
          </w:p>
        </w:tc>
      </w:tr>
      <w:tr>
        <w:trPr>
          <w:trHeight w:val="38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jc w:val="both"/>
              <w:rPr>
                <w:b w:val="1"/>
                <w:sz w:val="20"/>
                <w:szCs w:val="20"/>
              </w:rPr>
            </w:pPr>
            <w:r w:rsidDel="00000000" w:rsidR="00000000" w:rsidRPr="00000000">
              <w:rPr>
                <w:b w:val="1"/>
                <w:sz w:val="20"/>
                <w:szCs w:val="20"/>
                <w:rtl w:val="0"/>
              </w:rPr>
              <w:t xml:space="preserve">Material bibliográfico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jc w:val="both"/>
              <w:rPr>
                <w:sz w:val="20"/>
                <w:szCs w:val="20"/>
              </w:rPr>
            </w:pPr>
            <w:r w:rsidDel="00000000" w:rsidR="00000000" w:rsidRPr="00000000">
              <w:rPr>
                <w:rtl w:val="0"/>
              </w:rPr>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jc w:val="both"/>
              <w:rPr>
                <w:b w:val="1"/>
                <w:sz w:val="20"/>
                <w:szCs w:val="20"/>
              </w:rPr>
            </w:pPr>
            <w:r w:rsidDel="00000000" w:rsidR="00000000" w:rsidRPr="00000000">
              <w:rPr>
                <w:b w:val="1"/>
                <w:sz w:val="20"/>
                <w:szCs w:val="20"/>
                <w:rtl w:val="0"/>
              </w:rPr>
              <w:t xml:space="preserve">Auxilio de transporte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jc w:val="both"/>
              <w:rPr>
                <w:sz w:val="20"/>
                <w:szCs w:val="20"/>
              </w:rPr>
            </w:pPr>
            <w:r w:rsidDel="00000000" w:rsidR="00000000" w:rsidRPr="00000000">
              <w:rPr>
                <w:rtl w:val="0"/>
              </w:rPr>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jc w:val="both"/>
              <w:rPr>
                <w:b w:val="1"/>
                <w:sz w:val="20"/>
                <w:szCs w:val="20"/>
              </w:rPr>
            </w:pPr>
            <w:r w:rsidDel="00000000" w:rsidR="00000000" w:rsidRPr="00000000">
              <w:rPr>
                <w:b w:val="1"/>
                <w:sz w:val="20"/>
                <w:szCs w:val="20"/>
                <w:rtl w:val="0"/>
              </w:rPr>
              <w:t xml:space="preserve">Movilidad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jc w:val="both"/>
              <w:rPr>
                <w:sz w:val="20"/>
                <w:szCs w:val="20"/>
              </w:rPr>
            </w:pPr>
            <w:r w:rsidDel="00000000" w:rsidR="00000000" w:rsidRPr="00000000">
              <w:rPr>
                <w:rtl w:val="0"/>
              </w:rPr>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jc w:val="both"/>
              <w:rPr>
                <w:b w:val="1"/>
                <w:sz w:val="20"/>
                <w:szCs w:val="20"/>
              </w:rPr>
            </w:pPr>
            <w:r w:rsidDel="00000000" w:rsidR="00000000" w:rsidRPr="00000000">
              <w:rPr>
                <w:b w:val="1"/>
                <w:sz w:val="20"/>
                <w:szCs w:val="20"/>
                <w:rtl w:val="0"/>
              </w:rPr>
              <w:t xml:space="preserve">Publicaciones (Artículos, proceso editorial y traducción)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jc w:val="both"/>
              <w:rPr>
                <w:sz w:val="20"/>
                <w:szCs w:val="20"/>
              </w:rPr>
            </w:pPr>
            <w:r w:rsidDel="00000000" w:rsidR="00000000" w:rsidRPr="00000000">
              <w:rPr>
                <w:sz w:val="20"/>
                <w:szCs w:val="20"/>
                <w:rtl w:val="0"/>
              </w:rPr>
              <w:t xml:space="preserve">Servicio de traducción de material para publicación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jc w:val="both"/>
              <w:rPr>
                <w:sz w:val="20"/>
                <w:szCs w:val="20"/>
              </w:rPr>
            </w:pPr>
            <w:r w:rsidDel="00000000" w:rsidR="00000000" w:rsidRPr="00000000">
              <w:rPr>
                <w:sz w:val="20"/>
                <w:szCs w:val="20"/>
                <w:rtl w:val="0"/>
              </w:rPr>
              <w:t xml:space="preserve">$5.000.000</w:t>
            </w:r>
          </w:p>
        </w:tc>
      </w:tr>
      <w:tr>
        <w:trPr>
          <w:trHeight w:val="360" w:hRule="atLeast"/>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jc w:val="right"/>
              <w:rPr>
                <w:sz w:val="20"/>
                <w:szCs w:val="20"/>
              </w:rPr>
            </w:pPr>
            <w:r w:rsidDel="00000000" w:rsidR="00000000" w:rsidRPr="00000000">
              <w:rPr>
                <w:b w:val="1"/>
                <w:sz w:val="20"/>
                <w:szCs w:val="20"/>
                <w:rtl w:val="0"/>
              </w:rPr>
              <w:t xml:space="preserve">TOTAL DEL PROYECTO: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jc w:val="both"/>
              <w:rPr>
                <w:sz w:val="20"/>
                <w:szCs w:val="20"/>
              </w:rPr>
            </w:pPr>
            <w:r w:rsidDel="00000000" w:rsidR="00000000" w:rsidRPr="00000000">
              <w:rPr>
                <w:sz w:val="20"/>
                <w:szCs w:val="20"/>
                <w:rtl w:val="0"/>
              </w:rPr>
              <w:t xml:space="preserve">$25.500.000</w:t>
            </w:r>
          </w:p>
        </w:tc>
      </w:tr>
    </w:tbl>
    <w:p w:rsidR="00000000" w:rsidDel="00000000" w:rsidP="00000000" w:rsidRDefault="00000000" w:rsidRPr="00000000" w14:paraId="0000018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3"/>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18C">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Referencias bibliográficas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18D">
            <w:pPr>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REFERENCIAS </w:t>
            </w:r>
          </w:p>
          <w:p w:rsidR="00000000" w:rsidDel="00000000" w:rsidP="00000000" w:rsidRDefault="00000000" w:rsidRPr="00000000" w14:paraId="0000018E">
            <w:pPr>
              <w:rPr>
                <w:rFonts w:ascii="Arial" w:cs="Arial" w:eastAsia="Arial" w:hAnsi="Arial"/>
                <w:b w:val="1"/>
                <w:color w:val="222222"/>
                <w:sz w:val="20"/>
                <w:szCs w:val="20"/>
              </w:rPr>
            </w:pPr>
            <w:r w:rsidDel="00000000" w:rsidR="00000000" w:rsidRPr="00000000">
              <w:rPr>
                <w:rtl w:val="0"/>
              </w:rPr>
            </w:r>
          </w:p>
          <w:p w:rsidR="00000000" w:rsidDel="00000000" w:rsidP="00000000" w:rsidRDefault="00000000" w:rsidRPr="00000000" w14:paraId="0000018F">
            <w:pPr>
              <w:rPr>
                <w:rFonts w:ascii="Arial" w:cs="Arial" w:eastAsia="Arial" w:hAnsi="Arial"/>
                <w:b w:val="1"/>
                <w:color w:val="222222"/>
                <w:sz w:val="20"/>
                <w:szCs w:val="20"/>
              </w:rPr>
            </w:pPr>
            <w:r w:rsidDel="00000000" w:rsidR="00000000" w:rsidRPr="00000000">
              <w:rPr>
                <w:rtl w:val="0"/>
              </w:rPr>
            </w:r>
          </w:p>
          <w:p w:rsidR="00000000" w:rsidDel="00000000" w:rsidP="00000000" w:rsidRDefault="00000000" w:rsidRPr="00000000" w14:paraId="00000190">
            <w:pPr>
              <w:spacing w:after="0" w:line="276" w:lineRule="auto"/>
              <w:jc w:val="both"/>
              <w:rPr>
                <w:rFonts w:ascii="Arial" w:cs="Arial" w:eastAsia="Arial" w:hAnsi="Arial"/>
                <w:color w:val="222222"/>
                <w:sz w:val="20"/>
                <w:szCs w:val="20"/>
                <w:highlight w:val="yellow"/>
              </w:rPr>
            </w:pPr>
            <w:r w:rsidDel="00000000" w:rsidR="00000000" w:rsidRPr="00000000">
              <w:rPr>
                <w:rFonts w:ascii="Arial" w:cs="Arial" w:eastAsia="Arial" w:hAnsi="Arial"/>
                <w:color w:val="222222"/>
                <w:sz w:val="20"/>
                <w:szCs w:val="20"/>
                <w:highlight w:val="yellow"/>
                <w:rtl w:val="0"/>
              </w:rPr>
              <w:t xml:space="preserve"> </w:t>
            </w:r>
          </w:p>
          <w:p w:rsidR="00000000" w:rsidDel="00000000" w:rsidP="00000000" w:rsidRDefault="00000000" w:rsidRPr="00000000" w14:paraId="00000191">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Álvarez-Nava, F., &amp; Lanes, R. (2017). GH/IGF-1 signaling and current knowledge of epigenetics; a review and considerations on possible therapeutic options. </w:t>
            </w:r>
            <w:r w:rsidDel="00000000" w:rsidR="00000000" w:rsidRPr="00000000">
              <w:rPr>
                <w:rFonts w:ascii="Arial" w:cs="Arial" w:eastAsia="Arial" w:hAnsi="Arial"/>
                <w:i w:val="1"/>
                <w:color w:val="222222"/>
                <w:sz w:val="20"/>
                <w:szCs w:val="20"/>
                <w:shd w:fill="f8f8f8" w:val="clear"/>
                <w:rtl w:val="0"/>
              </w:rPr>
              <w:t xml:space="preserve">International journal of molecular sciences</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18</w:t>
            </w:r>
            <w:r w:rsidDel="00000000" w:rsidR="00000000" w:rsidRPr="00000000">
              <w:rPr>
                <w:rFonts w:ascii="Arial" w:cs="Arial" w:eastAsia="Arial" w:hAnsi="Arial"/>
                <w:color w:val="222222"/>
                <w:sz w:val="20"/>
                <w:szCs w:val="20"/>
                <w:shd w:fill="f8f8f8" w:val="clear"/>
                <w:rtl w:val="0"/>
              </w:rPr>
              <w:t xml:space="preserve">(10), 1624.</w:t>
            </w:r>
          </w:p>
          <w:p w:rsidR="00000000" w:rsidDel="00000000" w:rsidP="00000000" w:rsidRDefault="00000000" w:rsidRPr="00000000" w14:paraId="00000192">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93">
            <w:pPr>
              <w:spacing w:line="276" w:lineRule="auto"/>
              <w:ind w:left="1400" w:hanging="700"/>
              <w:jc w:val="both"/>
              <w:rPr>
                <w:rFonts w:ascii="Arial" w:cs="Arial" w:eastAsia="Arial" w:hAnsi="Arial"/>
                <w:color w:val="222222"/>
                <w:sz w:val="20"/>
                <w:szCs w:val="20"/>
                <w:highlight w:val="yellow"/>
              </w:rPr>
            </w:pPr>
            <w:r w:rsidDel="00000000" w:rsidR="00000000" w:rsidRPr="00000000">
              <w:rPr>
                <w:rFonts w:ascii="Arial" w:cs="Arial" w:eastAsia="Arial" w:hAnsi="Arial"/>
                <w:color w:val="222222"/>
                <w:sz w:val="20"/>
                <w:szCs w:val="20"/>
                <w:shd w:fill="f8f8f8" w:val="clear"/>
                <w:rtl w:val="0"/>
              </w:rPr>
              <w:t xml:space="preserve">Carro, E., Nuñez, A., Busiguina, S., &amp; Torres-Aleman, I. (2000). Circulating insulin-like growth factor I mediates effects of exercise on the brain. </w:t>
            </w:r>
            <w:r w:rsidDel="00000000" w:rsidR="00000000" w:rsidRPr="00000000">
              <w:rPr>
                <w:rFonts w:ascii="Arial" w:cs="Arial" w:eastAsia="Arial" w:hAnsi="Arial"/>
                <w:i w:val="1"/>
                <w:color w:val="222222"/>
                <w:sz w:val="20"/>
                <w:szCs w:val="20"/>
                <w:shd w:fill="f8f8f8" w:val="clear"/>
                <w:rtl w:val="0"/>
              </w:rPr>
              <w:t xml:space="preserve">Journal of Neuroscience</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20</w:t>
            </w:r>
            <w:r w:rsidDel="00000000" w:rsidR="00000000" w:rsidRPr="00000000">
              <w:rPr>
                <w:rFonts w:ascii="Arial" w:cs="Arial" w:eastAsia="Arial" w:hAnsi="Arial"/>
                <w:color w:val="222222"/>
                <w:sz w:val="20"/>
                <w:szCs w:val="20"/>
                <w:shd w:fill="f8f8f8" w:val="clear"/>
                <w:rtl w:val="0"/>
              </w:rPr>
              <w:t xml:space="preserve">(8), 2926-2933.</w:t>
            </w:r>
            <w:r w:rsidDel="00000000" w:rsidR="00000000" w:rsidRPr="00000000">
              <w:rPr>
                <w:rtl w:val="0"/>
              </w:rPr>
            </w:r>
          </w:p>
          <w:p w:rsidR="00000000" w:rsidDel="00000000" w:rsidP="00000000" w:rsidRDefault="00000000" w:rsidRPr="00000000" w14:paraId="00000194">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95">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Cassilhas, R. C., Antunes, H. K. M., Tufik, S., &amp; De Mello, M. T. (2010). Mood, anxiety, and serum IGF-1 in elderly men given 24 weeks of high resistance exercise. </w:t>
            </w:r>
            <w:r w:rsidDel="00000000" w:rsidR="00000000" w:rsidRPr="00000000">
              <w:rPr>
                <w:rFonts w:ascii="Arial" w:cs="Arial" w:eastAsia="Arial" w:hAnsi="Arial"/>
                <w:i w:val="1"/>
                <w:color w:val="222222"/>
                <w:sz w:val="20"/>
                <w:szCs w:val="20"/>
                <w:shd w:fill="f8f8f8" w:val="clear"/>
                <w:rtl w:val="0"/>
              </w:rPr>
              <w:t xml:space="preserve">Perceptual and motor skills</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110</w:t>
            </w:r>
            <w:r w:rsidDel="00000000" w:rsidR="00000000" w:rsidRPr="00000000">
              <w:rPr>
                <w:rFonts w:ascii="Arial" w:cs="Arial" w:eastAsia="Arial" w:hAnsi="Arial"/>
                <w:color w:val="222222"/>
                <w:sz w:val="20"/>
                <w:szCs w:val="20"/>
                <w:shd w:fill="f8f8f8" w:val="clear"/>
                <w:rtl w:val="0"/>
              </w:rPr>
              <w:t xml:space="preserve">(1), 265-276.</w:t>
            </w:r>
          </w:p>
          <w:p w:rsidR="00000000" w:rsidDel="00000000" w:rsidP="00000000" w:rsidRDefault="00000000" w:rsidRPr="00000000" w14:paraId="00000196">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97">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Cotman, C. W., &amp; Berchtold, N. C. (2002). Exercise: a behavioral intervention to enhance brain health and plasticity. </w:t>
            </w:r>
            <w:r w:rsidDel="00000000" w:rsidR="00000000" w:rsidRPr="00000000">
              <w:rPr>
                <w:rFonts w:ascii="Arial" w:cs="Arial" w:eastAsia="Arial" w:hAnsi="Arial"/>
                <w:i w:val="1"/>
                <w:color w:val="222222"/>
                <w:sz w:val="20"/>
                <w:szCs w:val="20"/>
                <w:shd w:fill="f8f8f8" w:val="clear"/>
                <w:rtl w:val="0"/>
              </w:rPr>
              <w:t xml:space="preserve">Trends in neurosciences</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25</w:t>
            </w:r>
            <w:r w:rsidDel="00000000" w:rsidR="00000000" w:rsidRPr="00000000">
              <w:rPr>
                <w:rFonts w:ascii="Arial" w:cs="Arial" w:eastAsia="Arial" w:hAnsi="Arial"/>
                <w:color w:val="222222"/>
                <w:sz w:val="20"/>
                <w:szCs w:val="20"/>
                <w:shd w:fill="f8f8f8" w:val="clear"/>
                <w:rtl w:val="0"/>
              </w:rPr>
              <w:t xml:space="preserve">(6), 295-301.</w:t>
            </w:r>
          </w:p>
          <w:p w:rsidR="00000000" w:rsidDel="00000000" w:rsidP="00000000" w:rsidRDefault="00000000" w:rsidRPr="00000000" w14:paraId="00000198">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99">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Cotman, C. W., Berchtold, N. C., &amp; Christie, L. A. (2007). Exercise builds brain health: key roles of growth factor cascades and inflammation. </w:t>
            </w:r>
            <w:r w:rsidDel="00000000" w:rsidR="00000000" w:rsidRPr="00000000">
              <w:rPr>
                <w:rFonts w:ascii="Arial" w:cs="Arial" w:eastAsia="Arial" w:hAnsi="Arial"/>
                <w:i w:val="1"/>
                <w:color w:val="222222"/>
                <w:sz w:val="20"/>
                <w:szCs w:val="20"/>
                <w:shd w:fill="f8f8f8" w:val="clear"/>
                <w:rtl w:val="0"/>
              </w:rPr>
              <w:t xml:space="preserve">Trends in neurosciences</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30</w:t>
            </w:r>
            <w:r w:rsidDel="00000000" w:rsidR="00000000" w:rsidRPr="00000000">
              <w:rPr>
                <w:rFonts w:ascii="Arial" w:cs="Arial" w:eastAsia="Arial" w:hAnsi="Arial"/>
                <w:color w:val="222222"/>
                <w:sz w:val="20"/>
                <w:szCs w:val="20"/>
                <w:shd w:fill="f8f8f8" w:val="clear"/>
                <w:rtl w:val="0"/>
              </w:rPr>
              <w:t xml:space="preserve">(9), 464-472.</w:t>
            </w:r>
          </w:p>
          <w:p w:rsidR="00000000" w:rsidDel="00000000" w:rsidP="00000000" w:rsidRDefault="00000000" w:rsidRPr="00000000" w14:paraId="0000019A">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9B">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Chadan, S. G., Dill, R. P., Vanderhoek, K., &amp; Parkhouse, W. S. (1999). Influence of physical activity on plasma insulin-like growth factor-1 and insulin-like growth factor binding proteins in healthy older women. </w:t>
            </w:r>
            <w:r w:rsidDel="00000000" w:rsidR="00000000" w:rsidRPr="00000000">
              <w:rPr>
                <w:rFonts w:ascii="Arial" w:cs="Arial" w:eastAsia="Arial" w:hAnsi="Arial"/>
                <w:i w:val="1"/>
                <w:color w:val="222222"/>
                <w:sz w:val="20"/>
                <w:szCs w:val="20"/>
                <w:shd w:fill="f8f8f8" w:val="clear"/>
                <w:rtl w:val="0"/>
              </w:rPr>
              <w:t xml:space="preserve">Mechanisms of ageing and development</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109</w:t>
            </w:r>
            <w:r w:rsidDel="00000000" w:rsidR="00000000" w:rsidRPr="00000000">
              <w:rPr>
                <w:rFonts w:ascii="Arial" w:cs="Arial" w:eastAsia="Arial" w:hAnsi="Arial"/>
                <w:color w:val="222222"/>
                <w:sz w:val="20"/>
                <w:szCs w:val="20"/>
                <w:shd w:fill="f8f8f8" w:val="clear"/>
                <w:rtl w:val="0"/>
              </w:rPr>
              <w:t xml:space="preserve">(1), 21-34.</w:t>
            </w:r>
          </w:p>
          <w:p w:rsidR="00000000" w:rsidDel="00000000" w:rsidP="00000000" w:rsidRDefault="00000000" w:rsidRPr="00000000" w14:paraId="0000019C">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9D">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de Souza Vale, R. G., de Oliveira, R. D., Pernambuco, C. S., da Silva Novaes, J., &amp; de Andrade, A. D. F. D. (2009). Effects of muscle strength and aerobic training on basal serum levels of IGF-1 and cortisol in elderly women. </w:t>
            </w:r>
            <w:r w:rsidDel="00000000" w:rsidR="00000000" w:rsidRPr="00000000">
              <w:rPr>
                <w:rFonts w:ascii="Arial" w:cs="Arial" w:eastAsia="Arial" w:hAnsi="Arial"/>
                <w:i w:val="1"/>
                <w:color w:val="222222"/>
                <w:sz w:val="20"/>
                <w:szCs w:val="20"/>
                <w:shd w:fill="f8f8f8" w:val="clear"/>
                <w:rtl w:val="0"/>
              </w:rPr>
              <w:t xml:space="preserve">Archives of gerontology and geriatrics</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49</w:t>
            </w:r>
            <w:r w:rsidDel="00000000" w:rsidR="00000000" w:rsidRPr="00000000">
              <w:rPr>
                <w:rFonts w:ascii="Arial" w:cs="Arial" w:eastAsia="Arial" w:hAnsi="Arial"/>
                <w:color w:val="222222"/>
                <w:sz w:val="20"/>
                <w:szCs w:val="20"/>
                <w:shd w:fill="f8f8f8" w:val="clear"/>
                <w:rtl w:val="0"/>
              </w:rPr>
              <w:t xml:space="preserve">(3), 343-347.</w:t>
            </w:r>
          </w:p>
          <w:p w:rsidR="00000000" w:rsidDel="00000000" w:rsidP="00000000" w:rsidRDefault="00000000" w:rsidRPr="00000000" w14:paraId="0000019E">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9F">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Erickson KI, Weinstein AM, Lopez OL. (2012). Physical activity, brain plasticity, and Alzheimer's disease. Arch Med Res 43(8): 615-21. </w:t>
            </w:r>
          </w:p>
          <w:p w:rsidR="00000000" w:rsidDel="00000000" w:rsidP="00000000" w:rsidRDefault="00000000" w:rsidRPr="00000000" w14:paraId="000001A0">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A1">
            <w:pPr>
              <w:spacing w:line="276" w:lineRule="auto"/>
              <w:ind w:left="1400" w:hanging="70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Garber, C. E., Blissmer, B., Deschenes, M. R., Franklin, B. A., Lamonte, M. J., Lee, I. M., ... &amp; Swain, D. P. (2011). Quantity and quality of exercise for developing and maintaining cardiorespiratory, musculoskeletal, and neuromotor fitness in apparently healthy adults: guidance for prescribing exercise. Medicine &amp; Science in Sports &amp; Exercise, 43(7), 1334-1359.</w:t>
            </w:r>
          </w:p>
          <w:p w:rsidR="00000000" w:rsidDel="00000000" w:rsidP="00000000" w:rsidRDefault="00000000" w:rsidRPr="00000000" w14:paraId="000001A2">
            <w:pPr>
              <w:spacing w:line="276" w:lineRule="auto"/>
              <w:ind w:left="1400" w:hanging="700"/>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1A3">
            <w:pPr>
              <w:spacing w:line="276" w:lineRule="auto"/>
              <w:ind w:left="1400" w:hanging="70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shd w:fill="f8f8f8" w:val="clear"/>
                <w:rtl w:val="0"/>
              </w:rPr>
              <w:t xml:space="preserve">Hameed, M., Orrell, R. W., Cobbold, M., Goldspink, G., &amp; Harridge, S. D. R. (2003). Expression of IGF‐I splice variants in young and old human skeletal muscle after high resistance exercise. </w:t>
            </w:r>
            <w:r w:rsidDel="00000000" w:rsidR="00000000" w:rsidRPr="00000000">
              <w:rPr>
                <w:rFonts w:ascii="Arial" w:cs="Arial" w:eastAsia="Arial" w:hAnsi="Arial"/>
                <w:i w:val="1"/>
                <w:color w:val="222222"/>
                <w:sz w:val="20"/>
                <w:szCs w:val="20"/>
                <w:shd w:fill="f8f8f8" w:val="clear"/>
                <w:rtl w:val="0"/>
              </w:rPr>
              <w:t xml:space="preserve">The Journal of physiology</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547</w:t>
            </w:r>
            <w:r w:rsidDel="00000000" w:rsidR="00000000" w:rsidRPr="00000000">
              <w:rPr>
                <w:rFonts w:ascii="Arial" w:cs="Arial" w:eastAsia="Arial" w:hAnsi="Arial"/>
                <w:color w:val="222222"/>
                <w:sz w:val="20"/>
                <w:szCs w:val="20"/>
                <w:shd w:fill="f8f8f8" w:val="clear"/>
                <w:rtl w:val="0"/>
              </w:rPr>
              <w:t xml:space="preserve">(1), 247-254.</w:t>
            </w:r>
            <w:r w:rsidDel="00000000" w:rsidR="00000000" w:rsidRPr="00000000">
              <w:rPr>
                <w:rtl w:val="0"/>
              </w:rPr>
            </w:r>
          </w:p>
          <w:p w:rsidR="00000000" w:rsidDel="00000000" w:rsidP="00000000" w:rsidRDefault="00000000" w:rsidRPr="00000000" w14:paraId="000001A4">
            <w:pPr>
              <w:spacing w:line="276" w:lineRule="auto"/>
              <w:ind w:left="1400" w:hanging="700"/>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1A5">
            <w:pPr>
              <w:spacing w:line="276" w:lineRule="auto"/>
              <w:ind w:left="1400" w:hanging="70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Landinez, N., Contreras, K., Castro, A. (2012). Aging, exercising and physical therapy. Rev. Cubana de Salud pública, 38(4), 562-580. </w:t>
            </w:r>
          </w:p>
          <w:p w:rsidR="00000000" w:rsidDel="00000000" w:rsidP="00000000" w:rsidRDefault="00000000" w:rsidRPr="00000000" w14:paraId="000001A6">
            <w:pPr>
              <w:spacing w:line="276" w:lineRule="auto"/>
              <w:ind w:left="1400" w:hanging="700"/>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1A7">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Maass, A., Düzel, S., Brigadski, T., Goerke, M., Becke, A., Sobieray, U., ... &amp; Braun-Dullaeus, R. (2016). Relationships of peripheral IGF-1, VEGF and BDNF levels to exercise-related changes in memory, hippocampal perfusion and volumes in older adults. </w:t>
            </w:r>
            <w:r w:rsidDel="00000000" w:rsidR="00000000" w:rsidRPr="00000000">
              <w:rPr>
                <w:rFonts w:ascii="Arial" w:cs="Arial" w:eastAsia="Arial" w:hAnsi="Arial"/>
                <w:i w:val="1"/>
                <w:color w:val="222222"/>
                <w:sz w:val="20"/>
                <w:szCs w:val="20"/>
                <w:shd w:fill="f8f8f8" w:val="clear"/>
                <w:rtl w:val="0"/>
              </w:rPr>
              <w:t xml:space="preserve">Neuroimage</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131</w:t>
            </w:r>
            <w:r w:rsidDel="00000000" w:rsidR="00000000" w:rsidRPr="00000000">
              <w:rPr>
                <w:rFonts w:ascii="Arial" w:cs="Arial" w:eastAsia="Arial" w:hAnsi="Arial"/>
                <w:color w:val="222222"/>
                <w:sz w:val="20"/>
                <w:szCs w:val="20"/>
                <w:shd w:fill="f8f8f8" w:val="clear"/>
                <w:rtl w:val="0"/>
              </w:rPr>
              <w:t xml:space="preserve">, 142-154.</w:t>
            </w:r>
          </w:p>
          <w:p w:rsidR="00000000" w:rsidDel="00000000" w:rsidP="00000000" w:rsidRDefault="00000000" w:rsidRPr="00000000" w14:paraId="000001A8">
            <w:pPr>
              <w:spacing w:line="276" w:lineRule="auto"/>
              <w:ind w:left="1400" w:hanging="700"/>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1A9">
            <w:pPr>
              <w:spacing w:line="276" w:lineRule="auto"/>
              <w:ind w:left="1400" w:hanging="70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Ministerio de Salud de Colombia. (2017). Boletín de salud mental, depresión SABE. Subdirección de enfermedades no transmisibles. </w:t>
            </w:r>
          </w:p>
          <w:p w:rsidR="00000000" w:rsidDel="00000000" w:rsidP="00000000" w:rsidRDefault="00000000" w:rsidRPr="00000000" w14:paraId="000001AA">
            <w:pPr>
              <w:spacing w:line="276" w:lineRule="auto"/>
              <w:ind w:left="1400" w:hanging="700"/>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1AB">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ONU. (2019). Revision World Population Prospects. Population Division. </w:t>
            </w:r>
            <w:hyperlink r:id="rId14">
              <w:r w:rsidDel="00000000" w:rsidR="00000000" w:rsidRPr="00000000">
                <w:rPr>
                  <w:rFonts w:ascii="Arial" w:cs="Arial" w:eastAsia="Arial" w:hAnsi="Arial"/>
                  <w:color w:val="1155cc"/>
                  <w:sz w:val="20"/>
                  <w:szCs w:val="20"/>
                  <w:u w:val="single"/>
                  <w:shd w:fill="f8f8f8" w:val="clear"/>
                  <w:rtl w:val="0"/>
                </w:rPr>
                <w:t xml:space="preserve">https://population.un.org/wpp/</w:t>
              </w:r>
            </w:hyperlink>
            <w:r w:rsidDel="00000000" w:rsidR="00000000" w:rsidRPr="00000000">
              <w:rPr>
                <w:rFonts w:ascii="Arial" w:cs="Arial" w:eastAsia="Arial" w:hAnsi="Arial"/>
                <w:color w:val="222222"/>
                <w:sz w:val="20"/>
                <w:szCs w:val="20"/>
                <w:shd w:fill="f8f8f8" w:val="clear"/>
                <w:rtl w:val="0"/>
              </w:rPr>
              <w:t xml:space="preserve"> </w:t>
            </w:r>
          </w:p>
          <w:p w:rsidR="00000000" w:rsidDel="00000000" w:rsidP="00000000" w:rsidRDefault="00000000" w:rsidRPr="00000000" w14:paraId="000001AC">
            <w:pPr>
              <w:spacing w:line="276" w:lineRule="auto"/>
              <w:ind w:left="1400" w:hanging="700"/>
              <w:jc w:val="both"/>
              <w:rPr>
                <w:rFonts w:ascii="Arial" w:cs="Arial" w:eastAsia="Arial" w:hAnsi="Arial"/>
                <w:color w:val="231f20"/>
                <w:sz w:val="20"/>
                <w:szCs w:val="20"/>
                <w:shd w:fill="f8f8f8" w:val="clear"/>
              </w:rPr>
            </w:pPr>
            <w:r w:rsidDel="00000000" w:rsidR="00000000" w:rsidRPr="00000000">
              <w:rPr>
                <w:rFonts w:ascii="Arial" w:cs="Arial" w:eastAsia="Arial" w:hAnsi="Arial"/>
                <w:color w:val="231f20"/>
                <w:sz w:val="20"/>
                <w:szCs w:val="20"/>
                <w:shd w:fill="f8f8f8" w:val="clear"/>
                <w:rtl w:val="0"/>
              </w:rPr>
              <w:t xml:space="preserve">Pierce, E. F., &amp; Pate, D. W. (1994). Mood alterations in older adults following acute exercise. Perceptual and motor skills, 79(1), 191-194.</w:t>
            </w:r>
          </w:p>
          <w:p w:rsidR="00000000" w:rsidDel="00000000" w:rsidP="00000000" w:rsidRDefault="00000000" w:rsidRPr="00000000" w14:paraId="000001AD">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AE">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Philippou, A., Papageorgiou, E., Bogdanis, G., Halapas, A., Sourla, A., Maridaki, M., ... &amp; Koutsilieris, M. (2009). Expression of IGF-1 isoforms after exercise-induced muscle damage in humans: characterization of the MGF E peptide actions in vitro. </w:t>
            </w:r>
            <w:r w:rsidDel="00000000" w:rsidR="00000000" w:rsidRPr="00000000">
              <w:rPr>
                <w:rFonts w:ascii="Arial" w:cs="Arial" w:eastAsia="Arial" w:hAnsi="Arial"/>
                <w:i w:val="1"/>
                <w:color w:val="222222"/>
                <w:sz w:val="20"/>
                <w:szCs w:val="20"/>
                <w:shd w:fill="f8f8f8" w:val="clear"/>
                <w:rtl w:val="0"/>
              </w:rPr>
              <w:t xml:space="preserve">In vivo</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23</w:t>
            </w:r>
            <w:r w:rsidDel="00000000" w:rsidR="00000000" w:rsidRPr="00000000">
              <w:rPr>
                <w:rFonts w:ascii="Arial" w:cs="Arial" w:eastAsia="Arial" w:hAnsi="Arial"/>
                <w:color w:val="222222"/>
                <w:sz w:val="20"/>
                <w:szCs w:val="20"/>
                <w:shd w:fill="f8f8f8" w:val="clear"/>
                <w:rtl w:val="0"/>
              </w:rPr>
              <w:t xml:space="preserve">(4), 567-575.</w:t>
            </w:r>
          </w:p>
          <w:p w:rsidR="00000000" w:rsidDel="00000000" w:rsidP="00000000" w:rsidRDefault="00000000" w:rsidRPr="00000000" w14:paraId="000001AF">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B0">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Ranke, M. B. (2015). Insulin-like growth factor binding-protein-3 (IGFBP–3). </w:t>
            </w:r>
            <w:r w:rsidDel="00000000" w:rsidR="00000000" w:rsidRPr="00000000">
              <w:rPr>
                <w:rFonts w:ascii="Arial" w:cs="Arial" w:eastAsia="Arial" w:hAnsi="Arial"/>
                <w:i w:val="1"/>
                <w:color w:val="222222"/>
                <w:sz w:val="20"/>
                <w:szCs w:val="20"/>
                <w:shd w:fill="f8f8f8" w:val="clear"/>
                <w:rtl w:val="0"/>
              </w:rPr>
              <w:t xml:space="preserve">Best Practice &amp; Research Clinical Endocrinology &amp; Metabolism</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29</w:t>
            </w:r>
            <w:r w:rsidDel="00000000" w:rsidR="00000000" w:rsidRPr="00000000">
              <w:rPr>
                <w:rFonts w:ascii="Arial" w:cs="Arial" w:eastAsia="Arial" w:hAnsi="Arial"/>
                <w:color w:val="222222"/>
                <w:sz w:val="20"/>
                <w:szCs w:val="20"/>
                <w:shd w:fill="f8f8f8" w:val="clear"/>
                <w:rtl w:val="0"/>
              </w:rPr>
              <w:t xml:space="preserve">(5), 701-711.</w:t>
            </w:r>
          </w:p>
          <w:p w:rsidR="00000000" w:rsidDel="00000000" w:rsidP="00000000" w:rsidRDefault="00000000" w:rsidRPr="00000000" w14:paraId="000001B1">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B2">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Rotwein, P. (2012). Mapping the growth hormone–Stat5b–IGF-I transcriptional circuit. </w:t>
            </w:r>
            <w:r w:rsidDel="00000000" w:rsidR="00000000" w:rsidRPr="00000000">
              <w:rPr>
                <w:rFonts w:ascii="Arial" w:cs="Arial" w:eastAsia="Arial" w:hAnsi="Arial"/>
                <w:i w:val="1"/>
                <w:color w:val="222222"/>
                <w:sz w:val="20"/>
                <w:szCs w:val="20"/>
                <w:shd w:fill="f8f8f8" w:val="clear"/>
                <w:rtl w:val="0"/>
              </w:rPr>
              <w:t xml:space="preserve">Trends in Endocrinology &amp; Metabolism</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23</w:t>
            </w:r>
            <w:r w:rsidDel="00000000" w:rsidR="00000000" w:rsidRPr="00000000">
              <w:rPr>
                <w:rFonts w:ascii="Arial" w:cs="Arial" w:eastAsia="Arial" w:hAnsi="Arial"/>
                <w:color w:val="222222"/>
                <w:sz w:val="20"/>
                <w:szCs w:val="20"/>
                <w:shd w:fill="f8f8f8" w:val="clear"/>
                <w:rtl w:val="0"/>
              </w:rPr>
              <w:t xml:space="preserve">(4), 186-193.</w:t>
            </w:r>
          </w:p>
          <w:p w:rsidR="00000000" w:rsidDel="00000000" w:rsidP="00000000" w:rsidRDefault="00000000" w:rsidRPr="00000000" w14:paraId="000001B3">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B4">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Scarth, J. P. (2006). Modulation of the growth hormone–insulin-like growth factor (GH–IGF) axis by pharmaceutical, nutraceutical and environmental xenobiotics: An emerging role for xenobiotic-metabolizing enzymes and the transcription factors regulating their expression. A review. </w:t>
            </w:r>
            <w:r w:rsidDel="00000000" w:rsidR="00000000" w:rsidRPr="00000000">
              <w:rPr>
                <w:rFonts w:ascii="Arial" w:cs="Arial" w:eastAsia="Arial" w:hAnsi="Arial"/>
                <w:i w:val="1"/>
                <w:color w:val="222222"/>
                <w:sz w:val="20"/>
                <w:szCs w:val="20"/>
                <w:shd w:fill="f8f8f8" w:val="clear"/>
                <w:rtl w:val="0"/>
              </w:rPr>
              <w:t xml:space="preserve">Xenobiotica</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36</w:t>
            </w:r>
            <w:r w:rsidDel="00000000" w:rsidR="00000000" w:rsidRPr="00000000">
              <w:rPr>
                <w:rFonts w:ascii="Arial" w:cs="Arial" w:eastAsia="Arial" w:hAnsi="Arial"/>
                <w:color w:val="222222"/>
                <w:sz w:val="20"/>
                <w:szCs w:val="20"/>
                <w:shd w:fill="f8f8f8" w:val="clear"/>
                <w:rtl w:val="0"/>
              </w:rPr>
              <w:t xml:space="preserve">(2-3), 119-218.</w:t>
            </w:r>
          </w:p>
          <w:p w:rsidR="00000000" w:rsidDel="00000000" w:rsidP="00000000" w:rsidRDefault="00000000" w:rsidRPr="00000000" w14:paraId="000001B5">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B6">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W. N. Venables and B. D. Ripley. (2002). Modern Applied Statistics with S. 4th Edition. </w:t>
            </w:r>
          </w:p>
          <w:p w:rsidR="00000000" w:rsidDel="00000000" w:rsidP="00000000" w:rsidRDefault="00000000" w:rsidRPr="00000000" w14:paraId="000001B7">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B8">
            <w:pPr>
              <w:spacing w:line="276" w:lineRule="auto"/>
              <w:ind w:left="1400" w:hanging="700"/>
              <w:jc w:val="both"/>
              <w:rPr>
                <w:rFonts w:ascii="Arial" w:cs="Arial" w:eastAsia="Arial" w:hAnsi="Arial"/>
                <w:color w:val="231f20"/>
                <w:sz w:val="20"/>
                <w:szCs w:val="20"/>
                <w:shd w:fill="f8f8f8" w:val="clear"/>
              </w:rPr>
            </w:pPr>
            <w:r w:rsidDel="00000000" w:rsidR="00000000" w:rsidRPr="00000000">
              <w:rPr>
                <w:rFonts w:ascii="Arial" w:cs="Arial" w:eastAsia="Arial" w:hAnsi="Arial"/>
                <w:color w:val="222222"/>
                <w:sz w:val="20"/>
                <w:szCs w:val="20"/>
                <w:shd w:fill="f8f8f8" w:val="clear"/>
                <w:rtl w:val="0"/>
              </w:rPr>
              <w:t xml:space="preserve">Villareal, M., Moncada, J., Gallegos, J., Ruíz, F. (2016). </w:t>
            </w:r>
            <w:r w:rsidDel="00000000" w:rsidR="00000000" w:rsidRPr="00000000">
              <w:rPr>
                <w:rFonts w:ascii="Arial" w:cs="Arial" w:eastAsia="Arial" w:hAnsi="Arial"/>
                <w:color w:val="231f20"/>
                <w:sz w:val="20"/>
                <w:szCs w:val="20"/>
                <w:shd w:fill="f8f8f8" w:val="clear"/>
                <w:rtl w:val="0"/>
              </w:rPr>
              <w:t xml:space="preserve">Effects of a Pilates-based exercise program on mood states in older adults in Mexico. Retos, (30), 106-109.  </w:t>
            </w:r>
          </w:p>
          <w:p w:rsidR="00000000" w:rsidDel="00000000" w:rsidP="00000000" w:rsidRDefault="00000000" w:rsidRPr="00000000" w14:paraId="000001B9">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BA">
            <w:pPr>
              <w:spacing w:line="276" w:lineRule="auto"/>
              <w:ind w:left="1400" w:hanging="700"/>
              <w:jc w:val="both"/>
              <w:rPr>
                <w:rFonts w:ascii="Arial" w:cs="Arial" w:eastAsia="Arial" w:hAnsi="Arial"/>
                <w:color w:val="222222"/>
                <w:sz w:val="20"/>
                <w:szCs w:val="20"/>
                <w:shd w:fill="f8f8f8" w:val="clear"/>
              </w:rPr>
            </w:pPr>
            <w:r w:rsidDel="00000000" w:rsidR="00000000" w:rsidRPr="00000000">
              <w:rPr>
                <w:rFonts w:ascii="Arial" w:cs="Arial" w:eastAsia="Arial" w:hAnsi="Arial"/>
                <w:color w:val="222222"/>
                <w:sz w:val="20"/>
                <w:szCs w:val="20"/>
                <w:shd w:fill="f8f8f8" w:val="clear"/>
                <w:rtl w:val="0"/>
              </w:rPr>
              <w:t xml:space="preserve">Walker, K. S., Kambadur, R. A. V. I., Sharma, M. R. I. D. U. L. A., &amp; Smith, H. K. (2004). Resistance training alters plasma myostatin but not IGF-1 in healthy men. </w:t>
            </w:r>
            <w:r w:rsidDel="00000000" w:rsidR="00000000" w:rsidRPr="00000000">
              <w:rPr>
                <w:rFonts w:ascii="Arial" w:cs="Arial" w:eastAsia="Arial" w:hAnsi="Arial"/>
                <w:i w:val="1"/>
                <w:color w:val="222222"/>
                <w:sz w:val="20"/>
                <w:szCs w:val="20"/>
                <w:shd w:fill="f8f8f8" w:val="clear"/>
                <w:rtl w:val="0"/>
              </w:rPr>
              <w:t xml:space="preserve">Medicine and science in sports and exercise</w:t>
            </w:r>
            <w:r w:rsidDel="00000000" w:rsidR="00000000" w:rsidRPr="00000000">
              <w:rPr>
                <w:rFonts w:ascii="Arial" w:cs="Arial" w:eastAsia="Arial" w:hAnsi="Arial"/>
                <w:color w:val="222222"/>
                <w:sz w:val="20"/>
                <w:szCs w:val="20"/>
                <w:shd w:fill="f8f8f8" w:val="clear"/>
                <w:rtl w:val="0"/>
              </w:rPr>
              <w:t xml:space="preserve">, </w:t>
            </w:r>
            <w:r w:rsidDel="00000000" w:rsidR="00000000" w:rsidRPr="00000000">
              <w:rPr>
                <w:rFonts w:ascii="Arial" w:cs="Arial" w:eastAsia="Arial" w:hAnsi="Arial"/>
                <w:i w:val="1"/>
                <w:color w:val="222222"/>
                <w:sz w:val="20"/>
                <w:szCs w:val="20"/>
                <w:shd w:fill="f8f8f8" w:val="clear"/>
                <w:rtl w:val="0"/>
              </w:rPr>
              <w:t xml:space="preserve">36</w:t>
            </w:r>
            <w:r w:rsidDel="00000000" w:rsidR="00000000" w:rsidRPr="00000000">
              <w:rPr>
                <w:rFonts w:ascii="Arial" w:cs="Arial" w:eastAsia="Arial" w:hAnsi="Arial"/>
                <w:color w:val="222222"/>
                <w:sz w:val="20"/>
                <w:szCs w:val="20"/>
                <w:shd w:fill="f8f8f8" w:val="clear"/>
                <w:rtl w:val="0"/>
              </w:rPr>
              <w:t xml:space="preserve">(5), 787-793.</w:t>
            </w:r>
          </w:p>
          <w:p w:rsidR="00000000" w:rsidDel="00000000" w:rsidP="00000000" w:rsidRDefault="00000000" w:rsidRPr="00000000" w14:paraId="000001BB">
            <w:pPr>
              <w:spacing w:line="276" w:lineRule="auto"/>
              <w:ind w:left="1400" w:hanging="700"/>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1BC">
            <w:pPr>
              <w:spacing w:line="276" w:lineRule="auto"/>
              <w:ind w:left="1400" w:hanging="70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World Health Organization. (2010). Recomendaciones mundiales sobre actividad física para la salud.</w:t>
            </w:r>
          </w:p>
          <w:p w:rsidR="00000000" w:rsidDel="00000000" w:rsidP="00000000" w:rsidRDefault="00000000" w:rsidRPr="00000000" w14:paraId="000001BD">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BE">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BF">
            <w:pPr>
              <w:spacing w:line="276" w:lineRule="auto"/>
              <w:ind w:left="1400" w:hanging="700"/>
              <w:jc w:val="both"/>
              <w:rPr>
                <w:rFonts w:ascii="Arial" w:cs="Arial" w:eastAsia="Arial" w:hAnsi="Arial"/>
                <w:color w:val="222222"/>
                <w:sz w:val="20"/>
                <w:szCs w:val="20"/>
                <w:shd w:fill="f8f8f8" w:val="clear"/>
              </w:rPr>
            </w:pPr>
            <w:r w:rsidDel="00000000" w:rsidR="00000000" w:rsidRPr="00000000">
              <w:rPr>
                <w:rtl w:val="0"/>
              </w:rPr>
            </w:r>
          </w:p>
          <w:p w:rsidR="00000000" w:rsidDel="00000000" w:rsidP="00000000" w:rsidRDefault="00000000" w:rsidRPr="00000000" w14:paraId="000001C0">
            <w:pPr>
              <w:rPr>
                <w:rFonts w:ascii="Arial" w:cs="Arial" w:eastAsia="Arial" w:hAnsi="Arial"/>
                <w:b w:val="1"/>
                <w:color w:val="222222"/>
                <w:sz w:val="24"/>
                <w:szCs w:val="24"/>
              </w:rPr>
            </w:pPr>
            <w:r w:rsidDel="00000000" w:rsidR="00000000" w:rsidRPr="00000000">
              <w:rPr>
                <w:rtl w:val="0"/>
              </w:rPr>
            </w:r>
          </w:p>
          <w:p w:rsidR="00000000" w:rsidDel="00000000" w:rsidP="00000000" w:rsidRDefault="00000000" w:rsidRPr="00000000" w14:paraId="000001C1">
            <w:pPr>
              <w:rPr>
                <w:rFonts w:ascii="Arial" w:cs="Arial" w:eastAsia="Arial" w:hAnsi="Arial"/>
                <w:b w:val="1"/>
                <w:color w:val="222222"/>
                <w:sz w:val="24"/>
                <w:szCs w:val="24"/>
              </w:rPr>
            </w:pPr>
            <w:r w:rsidDel="00000000" w:rsidR="00000000" w:rsidRPr="00000000">
              <w:rPr>
                <w:rtl w:val="0"/>
              </w:rPr>
            </w:r>
          </w:p>
        </w:tc>
      </w:tr>
    </w:tbl>
    <w:p w:rsidR="00000000" w:rsidDel="00000000" w:rsidP="00000000" w:rsidRDefault="00000000" w:rsidRPr="00000000" w14:paraId="000001C2">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4"/>
        <w:tblW w:w="768.0" w:type="dxa"/>
        <w:jc w:val="left"/>
        <w:tblInd w:w="8.0" w:type="dxa"/>
        <w:tblLayout w:type="fixed"/>
        <w:tblLook w:val="0400"/>
      </w:tblPr>
      <w:tblGrid>
        <w:gridCol w:w="768"/>
        <w:tblGridChange w:id="0">
          <w:tblGrid>
            <w:gridCol w:w="768"/>
          </w:tblGrid>
        </w:tblGridChange>
      </w:tblGrid>
      <w:tr>
        <w:tc>
          <w:tcPr>
            <w:shd w:fill="ffffff" w:val="clear"/>
            <w:tcMar>
              <w:top w:w="15.0" w:type="dxa"/>
              <w:left w:w="15.0" w:type="dxa"/>
              <w:bottom w:w="15.0" w:type="dxa"/>
              <w:right w:w="15.0" w:type="dxa"/>
            </w:tcMar>
            <w:vAlign w:val="center"/>
          </w:tcPr>
          <w:p w:rsidR="00000000" w:rsidDel="00000000" w:rsidP="00000000" w:rsidRDefault="00000000" w:rsidRPr="00000000" w14:paraId="000001C3">
            <w:pPr>
              <w:spacing w:after="0" w:lineRule="auto"/>
              <w:rPr>
                <w:sz w:val="20"/>
                <w:szCs w:val="20"/>
              </w:rPr>
            </w:pPr>
            <w:r w:rsidDel="00000000" w:rsidR="00000000" w:rsidRPr="00000000">
              <w:rPr>
                <w:rtl w:val="0"/>
              </w:rPr>
            </w:r>
          </w:p>
        </w:tc>
      </w:tr>
    </w:tbl>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jc w:val="center"/>
        <w:rPr>
          <w:b w:val="1"/>
        </w:rPr>
      </w:pPr>
      <w:r w:rsidDel="00000000" w:rsidR="00000000" w:rsidRPr="00000000">
        <w:rPr>
          <w:rtl w:val="0"/>
        </w:rPr>
      </w:r>
    </w:p>
    <w:p w:rsidR="00000000" w:rsidDel="00000000" w:rsidP="00000000" w:rsidRDefault="00000000" w:rsidRPr="00000000" w14:paraId="000001C6">
      <w:pPr>
        <w:jc w:val="center"/>
        <w:rPr>
          <w:b w:val="1"/>
        </w:rPr>
      </w:pPr>
      <w:r w:rsidDel="00000000" w:rsidR="00000000" w:rsidRPr="00000000">
        <w:rPr>
          <w:rtl w:val="0"/>
        </w:rPr>
      </w:r>
    </w:p>
    <w:sectPr>
      <w:headerReference r:id="rId15" w:type="default"/>
      <w:headerReference r:id="rId16" w:type="first"/>
      <w:headerReference r:id="rId17" w:type="even"/>
      <w:footerReference r:id="rId18" w:type="default"/>
      <w:footerReference r:id="rId19" w:type="first"/>
      <w:pgSz w:h="12240" w:w="15840"/>
      <w:pgMar w:bottom="567" w:top="567" w:left="567"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Helvetica Neue"/>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A">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2107981</wp:posOffset>
          </wp:positionH>
          <wp:positionV relativeFrom="paragraph">
            <wp:posOffset>-222705</wp:posOffset>
          </wp:positionV>
          <wp:extent cx="5748834" cy="761478"/>
          <wp:effectExtent b="0" l="0" r="0" t="0"/>
          <wp:wrapNone/>
          <wp:docPr descr="Comunicaciones:Comunicaciones USTA:3.Comunicaciones Institucionales:1. Comunicacion Interna:2018:Solicitudes:ST548-2018 Hoja Membrete Actualizada:Pieza:ST548–2018 Membrete 23 octubre-01.jpg" id="8" name="image2.jpg"/>
          <a:graphic>
            <a:graphicData uri="http://schemas.openxmlformats.org/drawingml/2006/picture">
              <pic:pic>
                <pic:nvPicPr>
                  <pic:cNvPr descr="Comunicaciones:Comunicaciones USTA:3.Comunicaciones Institucionales:1. Comunicacion Interna:2018:Solicitudes:ST548-2018 Hoja Membrete Actualizada:Pieza:ST548–2018 Membrete 23 octubre-01.jpg" id="0" name="image2.jpg"/>
                  <pic:cNvPicPr preferRelativeResize="0"/>
                </pic:nvPicPr>
                <pic:blipFill>
                  <a:blip r:embed="rId1"/>
                  <a:srcRect b="0" l="0" r="0" t="0"/>
                  <a:stretch>
                    <a:fillRect/>
                  </a:stretch>
                </pic:blipFill>
                <pic:spPr>
                  <a:xfrm>
                    <a:off x="0" y="0"/>
                    <a:ext cx="5748834" cy="76147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2040254</wp:posOffset>
          </wp:positionH>
          <wp:positionV relativeFrom="paragraph">
            <wp:posOffset>-216530</wp:posOffset>
          </wp:positionV>
          <wp:extent cx="5748834" cy="761478"/>
          <wp:effectExtent b="0" l="0" r="0" t="0"/>
          <wp:wrapNone/>
          <wp:docPr descr="Comunicaciones:Comunicaciones USTA:3.Comunicaciones Institucionales:1. Comunicacion Interna:2018:Solicitudes:ST548-2018 Hoja Membrete Actualizada:Pieza:ST548–2018 Membrete 23 octubre-01.jpg" id="6" name="image2.jpg"/>
          <a:graphic>
            <a:graphicData uri="http://schemas.openxmlformats.org/drawingml/2006/picture">
              <pic:pic>
                <pic:nvPicPr>
                  <pic:cNvPr descr="Comunicaciones:Comunicaciones USTA:3.Comunicaciones Institucionales:1. Comunicacion Interna:2018:Solicitudes:ST548-2018 Hoja Membrete Actualizada:Pieza:ST548–2018 Membrete 23 octubre-01.jpg" id="0" name="image2.jpg"/>
                  <pic:cNvPicPr preferRelativeResize="0"/>
                </pic:nvPicPr>
                <pic:blipFill>
                  <a:blip r:embed="rId1"/>
                  <a:srcRect b="0" l="0" r="0" t="0"/>
                  <a:stretch>
                    <a:fillRect/>
                  </a:stretch>
                </pic:blipFill>
                <pic:spPr>
                  <a:xfrm>
                    <a:off x="0" y="0"/>
                    <a:ext cx="5748834" cy="76147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1860331</wp:posOffset>
          </wp:positionH>
          <wp:positionV relativeFrom="paragraph">
            <wp:posOffset>-456386</wp:posOffset>
          </wp:positionV>
          <wp:extent cx="5908040" cy="917196"/>
          <wp:effectExtent b="0" l="0" r="0" t="0"/>
          <wp:wrapNone/>
          <wp:docPr descr="Macintosh HD:Users:angelicafernandasierrapolanco:Desktop:membrete4oct-02.png" id="9" name="image1.png"/>
          <a:graphic>
            <a:graphicData uri="http://schemas.openxmlformats.org/drawingml/2006/picture">
              <pic:pic>
                <pic:nvPicPr>
                  <pic:cNvPr descr="Macintosh HD:Users:angelicafernandasierrapolanco:Desktop:membrete4oct-02.png" id="0" name="image1.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color w:val="000000"/>
        <w:sz w:val="14"/>
        <w:szCs w:val="14"/>
        <w:rtl w:val="0"/>
      </w:rPr>
      <w:t xml:space="preserve">Página </w:t>
    </w:r>
    <w:r w:rsidDel="00000000" w:rsidR="00000000" w:rsidRPr="00000000">
      <w:rPr>
        <w:b w:val="1"/>
        <w:color w:val="000000"/>
        <w:sz w:val="14"/>
        <w:szCs w:val="14"/>
      </w:rPr>
      <w:fldChar w:fldCharType="begin"/>
      <w:instrText xml:space="preserve">PAGE</w:instrText>
      <w:fldChar w:fldCharType="separate"/>
      <w:fldChar w:fldCharType="end"/>
    </w:r>
    <w:r w:rsidDel="00000000" w:rsidR="00000000" w:rsidRPr="00000000">
      <w:rPr>
        <w:color w:val="000000"/>
        <w:sz w:val="14"/>
        <w:szCs w:val="14"/>
        <w:rtl w:val="0"/>
      </w:rPr>
      <w:t xml:space="preserve"> de </w:t>
    </w:r>
    <w:r w:rsidDel="00000000" w:rsidR="00000000" w:rsidRPr="00000000">
      <w:rPr>
        <w:b w:val="1"/>
        <w:color w:val="000000"/>
        <w:sz w:val="14"/>
        <w:szCs w:val="14"/>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B">
    <w:pPr>
      <w:spacing w:after="0" w:line="24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1792604</wp:posOffset>
          </wp:positionH>
          <wp:positionV relativeFrom="paragraph">
            <wp:posOffset>-450211</wp:posOffset>
          </wp:positionV>
          <wp:extent cx="5908040" cy="917196"/>
          <wp:effectExtent b="0" l="0" r="0" t="0"/>
          <wp:wrapNone/>
          <wp:docPr descr="Macintosh HD:Users:angelicafernandasierrapolanco:Desktop:membrete4oct-02.png" id="7" name="image1.png"/>
          <a:graphic>
            <a:graphicData uri="http://schemas.openxmlformats.org/drawingml/2006/picture">
              <pic:pic>
                <pic:nvPicPr>
                  <pic:cNvPr descr="Macintosh HD:Users:angelicafernandasierrapolanco:Desktop:membrete4oct-02.png" id="0" name="image1.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1CC">
    <w:pPr>
      <w:pBdr>
        <w:top w:space="0" w:sz="0" w:val="nil"/>
        <w:left w:space="0" w:sz="0" w:val="nil"/>
        <w:bottom w:space="0" w:sz="0" w:val="nil"/>
        <w:right w:space="0" w:sz="0" w:val="nil"/>
        <w:between w:space="0" w:sz="0" w:val="nil"/>
      </w:pBdr>
      <w:tabs>
        <w:tab w:val="center" w:pos="4419"/>
        <w:tab w:val="right" w:pos="8838"/>
      </w:tabs>
      <w:spacing w:after="0" w:line="240" w:lineRule="auto"/>
      <w:jc w:val="right"/>
      <w:rPr>
        <w:b w:val="1"/>
        <w:color w:val="000000"/>
      </w:rPr>
    </w:pPr>
    <w:r w:rsidDel="00000000" w:rsidR="00000000" w:rsidRPr="00000000">
      <w:rPr>
        <w:color w:val="000000"/>
        <w:sz w:val="14"/>
        <w:szCs w:val="14"/>
        <w:rtl w:val="0"/>
      </w:rPr>
      <w:t xml:space="preserve">Página </w:t>
    </w:r>
    <w:r w:rsidDel="00000000" w:rsidR="00000000" w:rsidRPr="00000000">
      <w:rPr>
        <w:b w:val="1"/>
        <w:color w:val="000000"/>
        <w:sz w:val="14"/>
        <w:szCs w:val="14"/>
      </w:rPr>
      <w:fldChar w:fldCharType="begin"/>
      <w:instrText xml:space="preserve">PAGE</w:instrText>
      <w:fldChar w:fldCharType="separate"/>
      <w:fldChar w:fldCharType="end"/>
    </w:r>
    <w:r w:rsidDel="00000000" w:rsidR="00000000" w:rsidRPr="00000000">
      <w:rPr>
        <w:color w:val="000000"/>
        <w:sz w:val="14"/>
        <w:szCs w:val="14"/>
        <w:rtl w:val="0"/>
      </w:rPr>
      <w:t xml:space="preserve"> de </w:t>
    </w:r>
    <w:r w:rsidDel="00000000" w:rsidR="00000000" w:rsidRPr="00000000">
      <w:rPr>
        <w:b w:val="1"/>
        <w:color w:val="000000"/>
        <w:sz w:val="14"/>
        <w:szCs w:val="1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F">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orcid.org/0000-0001-9346-7598" TargetMode="External"/><Relationship Id="rId10" Type="http://schemas.openxmlformats.org/officeDocument/2006/relationships/hyperlink" Target="https://scienti.colciencias.gov.co/cvlac/EnRecursoHumano/inicio.do" TargetMode="External"/><Relationship Id="rId13" Type="http://schemas.openxmlformats.org/officeDocument/2006/relationships/image" Target="media/image3.png"/><Relationship Id="rId12" Type="http://schemas.openxmlformats.org/officeDocument/2006/relationships/hyperlink" Target="https://scholar.google.es/citations?user=-eq345cAAAAJ&amp;hl=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cholar.google.es/citations?user=VNE1BmgAAAAJ&amp;hl=es" TargetMode="External"/><Relationship Id="rId15" Type="http://schemas.openxmlformats.org/officeDocument/2006/relationships/header" Target="header1.xml"/><Relationship Id="rId14" Type="http://schemas.openxmlformats.org/officeDocument/2006/relationships/hyperlink" Target="https://population.un.org/wpp/"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cienti.colciencias.gov.co:8081/cvlac/visualizador/generarCurriculoCv.do?cod_rh=0001168657" TargetMode="External"/><Relationship Id="rId8" Type="http://schemas.openxmlformats.org/officeDocument/2006/relationships/hyperlink" Target="https://orcid.org/0000-0002-5545-012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6zLlEpnmYsMpZmMpgq4HFcLPDA==">AMUW2mW0l3fOAslFKNvlxW03UZquzQE96uIKohWxqhL0YMTJCukldn1qie+3KAqs6BwNmXhAdVGo8Ybmr90aE4/s1L6KojqlgRMsJyA6+RVAGtFo58caZYGJVSmInSOs0SzkNVVkfclRft9xAa6VFCq7NYqinAOojsc+FNN8RjOsBgZUdgMl47k=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