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8CCEAE" w14:textId="77777777" w:rsidR="00CE457C" w:rsidRDefault="00475DB0">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ENVENENAMIENTO CAUSADO:PESTICIDAS</w:t>
      </w:r>
    </w:p>
    <w:p w14:paraId="61E19826" w14:textId="77777777" w:rsidR="00CE457C" w:rsidRDefault="00CE457C">
      <w:pPr>
        <w:spacing w:line="360" w:lineRule="auto"/>
        <w:jc w:val="center"/>
        <w:rPr>
          <w:rFonts w:ascii="Times New Roman" w:eastAsia="Times New Roman" w:hAnsi="Times New Roman" w:cs="Times New Roman"/>
          <w:sz w:val="24"/>
          <w:szCs w:val="24"/>
        </w:rPr>
      </w:pPr>
    </w:p>
    <w:p w14:paraId="2696C773" w14:textId="0F70176F" w:rsidR="00CE457C" w:rsidRDefault="00EF7D78" w:rsidP="00475DB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Leidy Nataly Gómez Rodríguez</w:t>
      </w:r>
    </w:p>
    <w:p w14:paraId="016E4413" w14:textId="77777777" w:rsidR="00475DB0" w:rsidRDefault="00196DEF" w:rsidP="00475DB0">
      <w:pPr>
        <w:spacing w:line="360" w:lineRule="auto"/>
        <w:jc w:val="right"/>
        <w:rPr>
          <w:rFonts w:ascii="Times New Roman" w:eastAsia="Times New Roman" w:hAnsi="Times New Roman" w:cs="Times New Roman"/>
          <w:sz w:val="24"/>
          <w:szCs w:val="24"/>
        </w:rPr>
      </w:pPr>
      <w:hyperlink r:id="rId6">
        <w:r w:rsidR="00475DB0">
          <w:rPr>
            <w:rFonts w:ascii="Times New Roman" w:eastAsia="Times New Roman" w:hAnsi="Times New Roman" w:cs="Times New Roman"/>
            <w:color w:val="1155CC"/>
            <w:sz w:val="24"/>
            <w:szCs w:val="24"/>
            <w:u w:val="single"/>
          </w:rPr>
          <w:t>laidygomezr@usantotomas.edu.co</w:t>
        </w:r>
      </w:hyperlink>
    </w:p>
    <w:p w14:paraId="7E363057" w14:textId="7B5E92BC" w:rsidR="00CE457C" w:rsidRDefault="006D0369" w:rsidP="00475DB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C</w:t>
      </w:r>
      <w:r w:rsidR="00EF7D78">
        <w:rPr>
          <w:rFonts w:ascii="Times New Roman" w:eastAsia="Times New Roman" w:hAnsi="Times New Roman" w:cs="Times New Roman"/>
          <w:sz w:val="24"/>
          <w:szCs w:val="24"/>
        </w:rPr>
        <w:t>ristian David Braucin Rodríguez</w:t>
      </w:r>
    </w:p>
    <w:p w14:paraId="7FE97695" w14:textId="77777777" w:rsidR="00475DB0" w:rsidRDefault="00196DEF" w:rsidP="00475DB0">
      <w:pPr>
        <w:spacing w:line="360" w:lineRule="auto"/>
        <w:jc w:val="right"/>
        <w:rPr>
          <w:rFonts w:ascii="Times New Roman" w:eastAsia="Times New Roman" w:hAnsi="Times New Roman" w:cs="Times New Roman"/>
          <w:sz w:val="24"/>
          <w:szCs w:val="24"/>
        </w:rPr>
      </w:pPr>
      <w:hyperlink r:id="rId7">
        <w:r w:rsidR="00475DB0">
          <w:rPr>
            <w:rFonts w:ascii="Times New Roman" w:eastAsia="Times New Roman" w:hAnsi="Times New Roman" w:cs="Times New Roman"/>
            <w:color w:val="1155CC"/>
            <w:sz w:val="24"/>
            <w:szCs w:val="24"/>
            <w:u w:val="single"/>
          </w:rPr>
          <w:t>cristianbraucin@usantotomas.edu.co</w:t>
        </w:r>
      </w:hyperlink>
    </w:p>
    <w:p w14:paraId="3A773CF9" w14:textId="26225F69" w:rsidR="00CE457C" w:rsidRDefault="00EF7D78" w:rsidP="00475DB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Nicolas Forero López</w:t>
      </w:r>
    </w:p>
    <w:p w14:paraId="0B6AE644" w14:textId="77777777" w:rsidR="00475DB0" w:rsidRDefault="00196DEF" w:rsidP="00475DB0">
      <w:pPr>
        <w:spacing w:line="360" w:lineRule="auto"/>
        <w:jc w:val="right"/>
        <w:rPr>
          <w:rFonts w:ascii="Times New Roman" w:eastAsia="Times New Roman" w:hAnsi="Times New Roman" w:cs="Times New Roman"/>
          <w:sz w:val="24"/>
          <w:szCs w:val="24"/>
        </w:rPr>
      </w:pPr>
      <w:hyperlink r:id="rId8">
        <w:r w:rsidR="00475DB0">
          <w:rPr>
            <w:rFonts w:ascii="Times New Roman" w:eastAsia="Times New Roman" w:hAnsi="Times New Roman" w:cs="Times New Roman"/>
            <w:color w:val="1155CC"/>
            <w:sz w:val="24"/>
            <w:szCs w:val="24"/>
            <w:u w:val="single"/>
          </w:rPr>
          <w:t>nicolasforerol@usantotomas.edu.co</w:t>
        </w:r>
      </w:hyperlink>
    </w:p>
    <w:p w14:paraId="1F106EF6" w14:textId="59D00A3C" w:rsidR="00CE457C" w:rsidRDefault="00EF7D78" w:rsidP="00475DB0">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Universidad Santo Tomas, F</w:t>
      </w:r>
      <w:r w:rsidR="006D0369">
        <w:rPr>
          <w:rFonts w:ascii="Times New Roman" w:eastAsia="Times New Roman" w:hAnsi="Times New Roman" w:cs="Times New Roman"/>
          <w:sz w:val="24"/>
          <w:szCs w:val="24"/>
        </w:rPr>
        <w:t>acultad de ingeniería ambiental</w:t>
      </w:r>
    </w:p>
    <w:p w14:paraId="547D85F1" w14:textId="77777777" w:rsidR="00CE457C" w:rsidRDefault="00CE457C" w:rsidP="00475DB0">
      <w:pPr>
        <w:spacing w:line="360" w:lineRule="auto"/>
        <w:rPr>
          <w:rFonts w:ascii="Times New Roman" w:eastAsia="Times New Roman" w:hAnsi="Times New Roman" w:cs="Times New Roman"/>
          <w:sz w:val="24"/>
          <w:szCs w:val="24"/>
        </w:rPr>
      </w:pPr>
    </w:p>
    <w:p w14:paraId="6E885FB1" w14:textId="77777777" w:rsidR="00CE457C" w:rsidRDefault="00CE457C">
      <w:pPr>
        <w:spacing w:line="360" w:lineRule="auto"/>
        <w:rPr>
          <w:rFonts w:ascii="Times New Roman" w:eastAsia="Times New Roman" w:hAnsi="Times New Roman" w:cs="Times New Roman"/>
          <w:sz w:val="24"/>
          <w:szCs w:val="24"/>
        </w:rPr>
      </w:pPr>
    </w:p>
    <w:p w14:paraId="74B25DFB" w14:textId="289FEAAF" w:rsidR="00361268" w:rsidRPr="00361268" w:rsidRDefault="00361268" w:rsidP="00475DB0">
      <w:pPr>
        <w:spacing w:line="360" w:lineRule="auto"/>
        <w:jc w:val="both"/>
        <w:rPr>
          <w:rFonts w:ascii="Times New Roman" w:eastAsia="Times New Roman" w:hAnsi="Times New Roman" w:cs="Times New Roman"/>
          <w:b/>
          <w:sz w:val="24"/>
          <w:szCs w:val="24"/>
        </w:rPr>
      </w:pPr>
      <w:r w:rsidRPr="00361268">
        <w:rPr>
          <w:rFonts w:ascii="Times New Roman" w:eastAsia="Times New Roman" w:hAnsi="Times New Roman" w:cs="Times New Roman"/>
          <w:b/>
          <w:sz w:val="24"/>
          <w:szCs w:val="24"/>
        </w:rPr>
        <w:t>Resumen</w:t>
      </w:r>
      <w:bookmarkStart w:id="0" w:name="_GoBack"/>
      <w:bookmarkEnd w:id="0"/>
    </w:p>
    <w:p w14:paraId="6F239AB7" w14:textId="77777777" w:rsidR="00361268" w:rsidRPr="00361268" w:rsidRDefault="00361268" w:rsidP="00361268">
      <w:pPr>
        <w:spacing w:line="360" w:lineRule="auto"/>
        <w:jc w:val="both"/>
        <w:rPr>
          <w:rFonts w:ascii="Times New Roman" w:eastAsia="Times New Roman" w:hAnsi="Times New Roman" w:cs="Times New Roman"/>
          <w:sz w:val="24"/>
          <w:szCs w:val="24"/>
          <w:lang w:val="es-ES"/>
        </w:rPr>
      </w:pPr>
      <w:r w:rsidRPr="00361268">
        <w:rPr>
          <w:rFonts w:ascii="Times New Roman" w:eastAsia="Times New Roman" w:hAnsi="Times New Roman" w:cs="Times New Roman"/>
          <w:sz w:val="24"/>
          <w:szCs w:val="24"/>
          <w:lang w:val="es-ES"/>
        </w:rPr>
        <w:t xml:space="preserve">Se plantea en este escrito el hecho de que las grandes afectaciones se encuentran por su uso inadecuado y poco manejo en sus procesos después de su uso, tales como: aplicaciones directas en los cultivos agrícolas, lavado inadecuado de tanques contenedores, filtraciones en los depósitos de almacenamiento y derrames accidentales, entre otros, que llevan a la erosión hídrica, eólica y en suelos, produciendo la degradación del funcionamiento esperado en los ecosistemas, mostrando así como las ventajas y desventajas del uso de pesticidas en procesos agrícolas se ven relacionadas entre ellas, en donde la búsqueda del cuidado de plagas para la producción óptima de alimentos para satisfacer la necesidad de una población extensa conduce a la producción de desequilibrios </w:t>
      </w:r>
      <w:proofErr w:type="spellStart"/>
      <w:r w:rsidRPr="00361268">
        <w:rPr>
          <w:rFonts w:ascii="Times New Roman" w:eastAsia="Times New Roman" w:hAnsi="Times New Roman" w:cs="Times New Roman"/>
          <w:sz w:val="24"/>
          <w:szCs w:val="24"/>
          <w:lang w:val="es-ES"/>
        </w:rPr>
        <w:t>ecosistémicos</w:t>
      </w:r>
      <w:proofErr w:type="spellEnd"/>
      <w:r w:rsidRPr="00361268">
        <w:rPr>
          <w:rFonts w:ascii="Times New Roman" w:eastAsia="Times New Roman" w:hAnsi="Times New Roman" w:cs="Times New Roman"/>
          <w:sz w:val="24"/>
          <w:szCs w:val="24"/>
          <w:lang w:val="es-ES"/>
        </w:rPr>
        <w:t xml:space="preserve"> y, en la salud humana, dando origen a enfermedades en el cuerpo humano que vayan en diferentes grados de complejidad y gravedad.</w:t>
      </w:r>
    </w:p>
    <w:p w14:paraId="2D4AC623" w14:textId="03B623D6" w:rsidR="00361268" w:rsidRPr="00361268" w:rsidRDefault="00361268" w:rsidP="00475DB0">
      <w:pPr>
        <w:spacing w:line="360" w:lineRule="auto"/>
        <w:jc w:val="both"/>
        <w:rPr>
          <w:rFonts w:ascii="Times New Roman" w:eastAsia="Times New Roman" w:hAnsi="Times New Roman" w:cs="Times New Roman"/>
          <w:b/>
          <w:sz w:val="24"/>
          <w:szCs w:val="24"/>
        </w:rPr>
      </w:pPr>
      <w:r w:rsidRPr="00361268">
        <w:rPr>
          <w:rFonts w:ascii="Times New Roman" w:eastAsia="Times New Roman" w:hAnsi="Times New Roman" w:cs="Times New Roman"/>
          <w:b/>
          <w:sz w:val="24"/>
          <w:szCs w:val="24"/>
        </w:rPr>
        <w:t>Abstract</w:t>
      </w:r>
    </w:p>
    <w:p w14:paraId="6973349C" w14:textId="6EFFB864" w:rsidR="00361268" w:rsidRDefault="00361268" w:rsidP="00475DB0">
      <w:pPr>
        <w:spacing w:line="360" w:lineRule="auto"/>
        <w:jc w:val="both"/>
        <w:rPr>
          <w:rFonts w:ascii="Times New Roman" w:eastAsia="Times New Roman" w:hAnsi="Times New Roman" w:cs="Times New Roman"/>
          <w:sz w:val="24"/>
          <w:szCs w:val="24"/>
        </w:rPr>
      </w:pPr>
      <w:r w:rsidRPr="00361268">
        <w:rPr>
          <w:rFonts w:ascii="Times New Roman" w:eastAsia="Times New Roman" w:hAnsi="Times New Roman" w:cs="Times New Roman"/>
          <w:sz w:val="24"/>
          <w:szCs w:val="24"/>
        </w:rPr>
        <w:t>The fact is raised in this writing that the great effects are due to its inappropriate use and little handling in its processes after its use, such as: direct applications in agricultural crops, inadequate washing of container tanks, leaks in the deposits of storage and accidental spills, among others, that lead to water, wind and soil erosion, producing the degradation of the expected functioning of ecosystems, showing how the advantages and disadvantages of the use of pesticides in agricultural processes are related to each other, where the search for pest care for optimal food production to satisfy the need of an extensive population leads to the production of ecosystem imbalances and, in human health, giving rise to diseases in the human body that go in different degrees of complexity and severity.</w:t>
      </w:r>
    </w:p>
    <w:p w14:paraId="58FD218D" w14:textId="67976F47" w:rsidR="00361268" w:rsidRDefault="00361268" w:rsidP="00475DB0">
      <w:pPr>
        <w:spacing w:line="360" w:lineRule="auto"/>
        <w:jc w:val="both"/>
        <w:rPr>
          <w:rFonts w:ascii="Times New Roman" w:eastAsia="Times New Roman" w:hAnsi="Times New Roman" w:cs="Times New Roman"/>
          <w:sz w:val="24"/>
          <w:szCs w:val="24"/>
        </w:rPr>
      </w:pPr>
      <w:r w:rsidRPr="00361268">
        <w:rPr>
          <w:rFonts w:ascii="Times New Roman" w:eastAsia="Times New Roman" w:hAnsi="Times New Roman" w:cs="Times New Roman"/>
          <w:b/>
          <w:sz w:val="24"/>
          <w:szCs w:val="24"/>
        </w:rPr>
        <w:t>Palabras clave</w:t>
      </w:r>
      <w:r>
        <w:rPr>
          <w:rFonts w:ascii="Times New Roman" w:eastAsia="Times New Roman" w:hAnsi="Times New Roman" w:cs="Times New Roman"/>
          <w:sz w:val="24"/>
          <w:szCs w:val="24"/>
        </w:rPr>
        <w:t>: pesticidas, envenenamiento, agricultura.</w:t>
      </w:r>
    </w:p>
    <w:p w14:paraId="1E98D105" w14:textId="2B029052" w:rsidR="00361268" w:rsidRDefault="00361268" w:rsidP="00475DB0">
      <w:pPr>
        <w:spacing w:line="360" w:lineRule="auto"/>
        <w:jc w:val="both"/>
        <w:rPr>
          <w:rFonts w:ascii="Times New Roman" w:eastAsia="Times New Roman" w:hAnsi="Times New Roman" w:cs="Times New Roman"/>
          <w:sz w:val="24"/>
          <w:szCs w:val="24"/>
        </w:rPr>
      </w:pPr>
      <w:r w:rsidRPr="00361268">
        <w:rPr>
          <w:rFonts w:ascii="Times New Roman" w:eastAsia="Times New Roman" w:hAnsi="Times New Roman" w:cs="Times New Roman"/>
          <w:b/>
          <w:sz w:val="24"/>
          <w:szCs w:val="24"/>
        </w:rPr>
        <w:t>Keywords</w:t>
      </w:r>
      <w:r>
        <w:rPr>
          <w:rFonts w:ascii="Times New Roman" w:eastAsia="Times New Roman" w:hAnsi="Times New Roman" w:cs="Times New Roman"/>
          <w:sz w:val="24"/>
          <w:szCs w:val="24"/>
        </w:rPr>
        <w:t xml:space="preserve">: </w:t>
      </w:r>
      <w:r w:rsidRPr="00361268">
        <w:rPr>
          <w:rFonts w:ascii="Times New Roman" w:eastAsia="Times New Roman" w:hAnsi="Times New Roman" w:cs="Times New Roman"/>
          <w:sz w:val="24"/>
          <w:szCs w:val="24"/>
        </w:rPr>
        <w:t>pesticides, poisoning, agriculture</w:t>
      </w:r>
      <w:r>
        <w:rPr>
          <w:rFonts w:ascii="Times New Roman" w:eastAsia="Times New Roman" w:hAnsi="Times New Roman" w:cs="Times New Roman"/>
          <w:sz w:val="24"/>
          <w:szCs w:val="24"/>
        </w:rPr>
        <w:t>.</w:t>
      </w:r>
    </w:p>
    <w:p w14:paraId="79CC4A49" w14:textId="77777777" w:rsidR="00361268" w:rsidRDefault="00361268" w:rsidP="00475DB0">
      <w:pPr>
        <w:spacing w:line="360" w:lineRule="auto"/>
        <w:jc w:val="both"/>
        <w:rPr>
          <w:rFonts w:ascii="Times New Roman" w:eastAsia="Times New Roman" w:hAnsi="Times New Roman" w:cs="Times New Roman"/>
          <w:sz w:val="24"/>
          <w:szCs w:val="24"/>
        </w:rPr>
      </w:pPr>
    </w:p>
    <w:p w14:paraId="00CBEDC9" w14:textId="77777777" w:rsidR="00CE457C" w:rsidRDefault="006D0369" w:rsidP="00475DB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plaguicidas o pesticidas son sustancias químicas preparadas para combatir cualquier organismo que afecte un cultivo que será destinado al consumo humano. Los pesticidas pueden brindar propiedades de protección a los cultivos lo cual puede ser benéfico para los procesos agrícolas de siembra en contra de las diversas plagas que atacan los cultivos; sin embargo,  esto conlleva a problemáticas ambientales y afectaciones en el bienestar de la salud pública de los encargados de su aplicación y de aquellos que estén involucrados a una exposición prolongada con las sustancias o mantengan un contacto directo con los alimentos presentes en el tratamiento. </w:t>
      </w:r>
    </w:p>
    <w:p w14:paraId="2A6DDB76" w14:textId="77777777" w:rsidR="00CE457C" w:rsidRDefault="006D036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Quisimos plantearnos este tema como una preocupación que ha tenido vigor desde 2004 cuando se habló de los COP (Contaminantes Orgánicos Persistentes) concluyendo que las grandes afectaciones se encuentran por su uso inadecuado y poco manejo en sus procesos después de su uso, tales como: aplicaciones directas en los cultivos agrícolas, lavado inadecuado de tanques contenedores, filtraciones en los depósitos de almacenamiento y derrames accidentales, entre otros, que llevan a la erosión hídrica, eólica y en suelos, produciendo la degradación del funcionamiento esperado en los ecosistemas, mostrando así como las ventajas y desventajas del uso de pesticidas en procesos agrícolas se ven relacionadas entre ellas, en donde la búsqueda del cuidado de plagas para la producción óptima de alimentos para satisfacer la necesidad de una población extensa conduce a la producción de desequilibrios ecosistémicos y, en la salud humana, dando origen a enfermedades en el cuerpo humano que vayan en diferentes grados de complejidad y gravedad.</w:t>
      </w:r>
    </w:p>
    <w:p w14:paraId="5389147C" w14:textId="77777777" w:rsidR="00CE457C" w:rsidRDefault="006D036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lo que se debe identificar los factores que conducen a un índice de toxicidad alto que conlleva a las problemáticas ya expuestas con anterioridad para así concluir frente a las medidas de  mitigación que pueden tomarse para disminuir o retraer  sus efectos.</w:t>
      </w:r>
    </w:p>
    <w:p w14:paraId="4CE3BD7D" w14:textId="77777777" w:rsidR="00CE457C" w:rsidRDefault="006D036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contaminación de origen antropogénico y las alteraciones en la salud pública vinculado con el uso de pesticidas son más comunes en las zonas agrícolas debido a la bioacomulacion del ingrediente activo presente en los pesticidas. "Actualmente la cifra de  la producción de alimentos obliga al consumo de un 85% de la producción mundial de  pesticidas" (Dra. Asela M, et.al, 2015, Párr. 24). En el caso de Colombia, anualmente se utilizan más de 17 millones de kg de plaguicidas, cifra que ubica a nuestro país como el tercer consumidor en Latinoamérica, después de países como Brasil y México (Narváez et.al, p. 1), donde aún es precario el conocimiento de su debido uso, por lo que se producen malos manejos que conllevan a la adsorción y biodegradación del compuesto, lo que expande su campo de contaminación, produciendo la erosión hídrica, eólica y de suelos, teniendo como resultados que “el 86% de </w:t>
      </w:r>
      <w:r>
        <w:rPr>
          <w:rFonts w:ascii="Times New Roman" w:eastAsia="Times New Roman" w:hAnsi="Times New Roman" w:cs="Times New Roman"/>
          <w:sz w:val="24"/>
          <w:szCs w:val="24"/>
        </w:rPr>
        <w:lastRenderedPageBreak/>
        <w:t>los campesinos realizaba alguna actividad agropecuaria y 74% aplicaba agroquímicos, así mismo el 58% conocía los riesgos asociados de los productos utilizados, destacándose la intoxicación (47%), el 42% no usaba traje especial”(Guzman, 2017, p.19) estos porcentajes indican la poca financiación frente al cuidado de los que manejan a diario estos químicos y alguna mala información frente a los mismos.</w:t>
      </w:r>
    </w:p>
    <w:p w14:paraId="57E93DE0" w14:textId="77777777" w:rsidR="00CE457C" w:rsidRDefault="006D036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uso de pesticidas y plaguicidas en los tiempos de la agricultura moderna son irremediablemente necesarias, esto se debe a que aseguran una producción suficiente de productos, los cuales permiten abastecer las necesidades de la numerosa población existente. El uso de los mismos también permite contrarrestar varios factores que amenazan la producción óptima de productos como pueden ser: Malezas, insectos, ácaros, hongos, virus y cualquier plaga nociva para el cultivo en general, por esta razón, cada tipo de plaga requiere de un pesticida o plaguicida específico para el control  de la amenaza que lo esté afectando.</w:t>
      </w:r>
    </w:p>
    <w:p w14:paraId="29F78F92" w14:textId="77777777" w:rsidR="00CE457C" w:rsidRDefault="006D036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 se quiere entender cómo los compuestos pueden influir en los daños producidos en el ambiente, debe entenderse las propiedades encontradas en cada pesticida, tales como estructura química, solubilidad, lipofilicidad, como indicador del potencial de absorción toxicológico que tiene un compuesto sobre los organismos vivos, la volatilización, como capacidad de cambio de estado a gaseoso, presión de vapor, como la velocidad de volatilización, persistencia, como la durabilidad del efecto del pesticida lo que indica una mayor o menor posibilidad de erosión, capacidad de absorción  e ioniza bilidad, siendo el equilibrio del ph del suelo con el pesticida garantizando mayor capacidad de absorción (Aparicio et.al, 2015, p. 19)</w:t>
      </w:r>
    </w:p>
    <w:p w14:paraId="194B9BAC" w14:textId="77777777" w:rsidR="00CE457C" w:rsidRDefault="006D036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Esto hace que los pesticidas se dividan en grupos según su estructura, como: los organofosforados, los cuales mantienen un nivel de absorción pero manteniendo un grado de toxicidad alto, los organoclorados, los cuales  son muy persistentes evadiendo su degradación lo cual los ha hecho prohibidos por sus propiedades toxicológicas, los carbamatos, los cuales presentan menor toxicidad al igual que los piretroides. Adicional a esto se encuentra una división por DL50 que veremos a continuación en una tabla  que nos indica la absorción dérmica permitida:</w:t>
      </w:r>
    </w:p>
    <w:p w14:paraId="049FE1D7" w14:textId="77777777" w:rsidR="00CE457C" w:rsidRDefault="00CE457C">
      <w:pPr>
        <w:spacing w:line="360" w:lineRule="auto"/>
        <w:ind w:firstLine="720"/>
        <w:jc w:val="both"/>
        <w:rPr>
          <w:rFonts w:ascii="Times New Roman" w:eastAsia="Times New Roman" w:hAnsi="Times New Roman" w:cs="Times New Roman"/>
          <w:i/>
          <w:sz w:val="18"/>
          <w:szCs w:val="18"/>
        </w:rPr>
      </w:pPr>
    </w:p>
    <w:p w14:paraId="04A7AC1B" w14:textId="77777777" w:rsidR="00CE457C" w:rsidRDefault="006D0369">
      <w:pPr>
        <w:spacing w:line="36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_tradnl"/>
        </w:rPr>
        <w:drawing>
          <wp:inline distT="114300" distB="114300" distL="114300" distR="114300" wp14:anchorId="5DD077A6" wp14:editId="218B0CF9">
            <wp:extent cx="4118636" cy="1300163"/>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9"/>
                    <a:srcRect l="1008"/>
                    <a:stretch>
                      <a:fillRect/>
                    </a:stretch>
                  </pic:blipFill>
                  <pic:spPr>
                    <a:xfrm>
                      <a:off x="0" y="0"/>
                      <a:ext cx="4118636" cy="1300163"/>
                    </a:xfrm>
                    <a:prstGeom prst="rect">
                      <a:avLst/>
                    </a:prstGeom>
                    <a:ln/>
                  </pic:spPr>
                </pic:pic>
              </a:graphicData>
            </a:graphic>
          </wp:inline>
        </w:drawing>
      </w:r>
    </w:p>
    <w:p w14:paraId="2F8247B9" w14:textId="77777777" w:rsidR="00CE457C" w:rsidRDefault="006D0369">
      <w:pPr>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lastRenderedPageBreak/>
        <w:t>Tabla 1.Clasificación de riesgo toxicológico de los plaguicidas según la OMS, (Bedmar F, 2020)</w:t>
      </w:r>
    </w:p>
    <w:p w14:paraId="34065BB9" w14:textId="77777777" w:rsidR="00CE457C" w:rsidRDefault="00CE457C">
      <w:pPr>
        <w:spacing w:line="360" w:lineRule="auto"/>
        <w:ind w:firstLine="720"/>
        <w:jc w:val="center"/>
        <w:rPr>
          <w:rFonts w:ascii="Times New Roman" w:eastAsia="Times New Roman" w:hAnsi="Times New Roman" w:cs="Times New Roman"/>
          <w:sz w:val="24"/>
          <w:szCs w:val="24"/>
        </w:rPr>
      </w:pPr>
    </w:p>
    <w:p w14:paraId="72F9A80A" w14:textId="77777777" w:rsidR="00CE457C" w:rsidRDefault="006D036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importante resaltar estos valores de toxicidad ya que dan un rango de capacidad de exposición de cada compuesto, encontrando así una clasificación, cabe aclarar que los datos anteriormente expuestos fueron establecidos mediante la experimentación en animales biológicamente parecidos al ser humano como por ejemplo, los chimpancés, cerdos, ratas e incluso conejos. Esto se especifica con el fin de establecer la probabilidad de un margen de error presente en los valores.</w:t>
      </w:r>
    </w:p>
    <w:p w14:paraId="6EB06DAF" w14:textId="77777777" w:rsidR="00CE457C" w:rsidRDefault="00CE457C">
      <w:pPr>
        <w:spacing w:line="360" w:lineRule="auto"/>
        <w:ind w:firstLine="720"/>
        <w:jc w:val="both"/>
        <w:rPr>
          <w:rFonts w:ascii="Times New Roman" w:eastAsia="Times New Roman" w:hAnsi="Times New Roman" w:cs="Times New Roman"/>
          <w:sz w:val="24"/>
          <w:szCs w:val="24"/>
        </w:rPr>
      </w:pPr>
    </w:p>
    <w:p w14:paraId="016CBBB4" w14:textId="77777777" w:rsidR="00CE457C" w:rsidRDefault="006D036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Las desventajas de la presencia de pesticidas en el suelo sucede en el proceso de absorción, donde las moléculas se enlazan con el suelo y es ahí donde los microorganismos consumen la mayor parte de esos residuos; sin embargo, la capacidad de absorción es la causante del transporte hacia el agua cuando los residuos no resultan ser consumidos al 100% por los microorganismos, debido a factores como la biodisponibilidad, adaptabilidad de la fracción biota, y condiciones ambientales del terreno que facilitan la lixiviación tras  la unión del compuesto en fase líquida con las aguas subterráneas debido al cambio de polaridad, afinidad por el suelo, fracción de biota, la cantidad de materia orgánica, temperatura, precipitaciones y profundidad, condiciones que pueden disminuir o aumentar el proceso de degradación biológica, lo que incrementa la persistencia del compuesto,  amenazando la sanidad del ecosistema y afectando la cantidad de bacterias presentes en subsuelo, la diversidad HMA y la actividad nitrogenasa.(Aparicio, et.al,2015, P.36, 37, 47)</w:t>
      </w:r>
    </w:p>
    <w:p w14:paraId="436995DF" w14:textId="77777777" w:rsidR="00CE457C" w:rsidRDefault="006D036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bioacomulacion es un factor que integra la bioconcentración que incrementa los daños en la biota, esto dado por condiciones de mayor persistencia,  indicando la afinidad lipídica y la dificultad de degradación, fotodegradación y la hidrólisis química, resultante de procesos de oxidación, reducción, hidrólisis, ruptura y reorganización de enlaces moleculares por parte de microorganismos para así convertir en energía aquellos residuos que no pertenecen al subsuelo, así como es en el caso de los pesticidas organoclorados, tales como “la atrazina con  el 75 y el 100 % de su degradación en un tiempo de 4 a 30 años que por sus propiedades físico-químicas ha sido restringido su uso, por lo que se ha reemplazado por pesticidas organofosforados como clorpirifos, trifluralina y procimidona que mantienen una persistencia más baja debido a los enlaces fosfodiéster” (Narváez,et,al,2012,P.2,4) esto demostrando como en el campo agrícola puede alternarse el uso de pesticidas que contraigan menos efectos tóxicos.</w:t>
      </w:r>
    </w:p>
    <w:p w14:paraId="44A76FAB" w14:textId="77777777" w:rsidR="00CE457C" w:rsidRDefault="006D036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Pueden establecerse mecanismos en el que el ecosistema busca la degradación natural  de dichas sustancias encontrando así la biodegradación como proceso fotolítico que puede darse de forma anaeróbica o aeróbica, en el que los enlaces químicos pasan a ser compuestos parentales de forma parcial; sin embargo, esto no significa que no presenten un grado de toxicidad preocupante para el ecosistema, por lo que debe pasar por procesos que producen  H2O, CO2 que permiten un equilibrio. La fotodegradación es otro proceso ayudado por la luz UV-B y UV-A  que interactúa con la superficie reactivando las moléculas y ayudando a la ruptura de enlaces del compuesto reactivando de esta forma procesos catalíticos que pueden generar cáncer a las personas expuestas por la gran cantidad de  luz necesaria para su reactivación, lo que lo hace un proceso no muy útil por factores adversos. La hidrólisis química es otro método que se basa en funciones catalizadoras que potencializan la transformación de estos compuestos en unos menos tóxicos que los parentales permitiendo que estos luego sean degradados por microorganismos.  (Narvez,et.al,2012,P.6,7)</w:t>
      </w:r>
    </w:p>
    <w:p w14:paraId="6673C863" w14:textId="77777777" w:rsidR="00CE457C" w:rsidRDefault="006D0369">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    Ahora bien, si se habla de los efectos producidos en las fuentes hidrográficas, es preocupante,  ya que la bioacomulacion de estos agroquimicos </w:t>
      </w:r>
      <w:r>
        <w:rPr>
          <w:rFonts w:ascii="Times New Roman" w:eastAsia="Times New Roman" w:hAnsi="Times New Roman" w:cs="Times New Roman"/>
          <w:sz w:val="24"/>
          <w:szCs w:val="24"/>
          <w:highlight w:val="white"/>
        </w:rPr>
        <w:t>sea de forma directa o indirecta,</w:t>
      </w:r>
      <w:r>
        <w:rPr>
          <w:rFonts w:ascii="Times New Roman" w:eastAsia="Times New Roman" w:hAnsi="Times New Roman" w:cs="Times New Roman"/>
          <w:sz w:val="24"/>
          <w:szCs w:val="24"/>
        </w:rPr>
        <w:t xml:space="preserve">  con el tiempo se filtraran hasta llegar a ríos o lagos aledaños. Se sabe que,</w:t>
      </w:r>
      <w:r>
        <w:rPr>
          <w:rFonts w:ascii="Times New Roman" w:eastAsia="Times New Roman" w:hAnsi="Times New Roman" w:cs="Times New Roman"/>
          <w:sz w:val="24"/>
          <w:szCs w:val="24"/>
          <w:highlight w:val="white"/>
        </w:rPr>
        <w:t xml:space="preserve"> de los plaguicidas utilizados “en la agricultura tan solo llega a atacar y penetrar un sólo 1% en los cultivos, el resto contamina suelo, aire y, principalmente, los cuerpos de agua, no solo por su toxicología acumulativa sino por el fenómeno producido por fertilizantes que causan eutrofización por exceso de nutrientes y la salinidad de suelos”(Mazari,2014, párr. 6,8) indicando que es más el daño que se produce, que lo que en verdad ataca en los cultivos. Para estos casos se tiene un proceso de rectificación del estado de fuentes hidrográficas como lo es el biomonitoreo, que evalúa con ayuda de biomarcadores los cambios que puedan presentarse con actividades que puedan interferir en su normalidad, como lo es el uso de agroquímicos que logran pasar a ríos debido a el uso de una cantidad no permitida en suelos, de forma aérea o por forma directa logrando tener un alta afinidad con tejidos grasos presentes en ecosistemas acuáticos, estos tienden a acomularse en organismos presentes en el ecosistema (Aparicio et.al, 2015, p. 61).</w:t>
      </w:r>
    </w:p>
    <w:p w14:paraId="02DB72EF" w14:textId="77777777" w:rsidR="00CE457C" w:rsidRDefault="006D0369">
      <w:pPr>
        <w:spacing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La preocupación masiva de los gobiernos por los efectos de los agroquímicos presentes  en los alimentos, llevó a la postulación de normatividades que parametrizan y lograran determinar los niveles admitidos de LMR “según el tipo de pesticida usado en cada alimento, se tiene presente que en caso de uso de glifosato su ingesta no debe pasar de 5.600mg/kg,” (Bedmar, 2011, p. 8) esto como un índice de riesgo para el ser humano al consumir alimentos que en su etapa de cultivo presenten altos índices de acomulacion en los alimentos finales, para esta situación se debe tener un control, donde las empresas distribuidoras de alimentos deben </w:t>
      </w:r>
      <w:r>
        <w:rPr>
          <w:rFonts w:ascii="Times New Roman" w:eastAsia="Times New Roman" w:hAnsi="Times New Roman" w:cs="Times New Roman"/>
          <w:sz w:val="24"/>
          <w:szCs w:val="24"/>
          <w:highlight w:val="white"/>
        </w:rPr>
        <w:lastRenderedPageBreak/>
        <w:t>realizar el cálculo de residuo LMR por cada alimento, garantizando los estándares de calidad de consumo y estableciendo rangos de riesgo  de estos en el cuerpo humano; para esto se puede contar con una técnica de cromatografía de gases, en la que se logra establecer dichas cantidades.(Rodrigo,2018).</w:t>
      </w:r>
    </w:p>
    <w:p w14:paraId="37D4DCB1" w14:textId="77777777" w:rsidR="00CE457C" w:rsidRDefault="006D0369">
      <w:pPr>
        <w:spacing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Para dicho procedimiento se requiere de una previa extracción entre el disolvente poco polar presente en la fase sólida, donde la finalidad es extraer el disolvente, con técnicas tales como “Extracción en fase sólida (SPE), microextracción en Fase Sólida (SPME), extracción  con fluidos supercríticos, extracción asistida por microondas, la partición líquido-líquido y el más usado en la actualidad  (Quechers), el cual usa acetonitrilo para la degradación del analito de la matriz”(Rodrigo,2018) estos, como métodos alternos que pueden ser usados y seleccionados por la misma empresa, recurriendo al de más favorabilidad.</w:t>
      </w:r>
    </w:p>
    <w:p w14:paraId="7C235009" w14:textId="77777777" w:rsidR="00CE457C" w:rsidRDefault="006D0369">
      <w:pPr>
        <w:spacing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En cada uno de estos procesos, tras la debida extracción del analito, se procede a una limpieza, evitando residuos de la matriz y posibles interferencias en el análisis final, usando técnicas como la cromatografía de permeación en gel o técnicas donde las propiedades del carbón activado, polares como la sílice, la alúmina y el Florisil limpian el extracto.(Rodrigo,2018).</w:t>
      </w:r>
    </w:p>
    <w:p w14:paraId="71C26306" w14:textId="77777777" w:rsidR="00CE457C" w:rsidRDefault="006D0369">
      <w:pPr>
        <w:spacing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Luego se procede a su análisis, donde generalmente se usa la cromatografía de gases, enfocándose en la identificación de organofosforados. En este proceso se procede a inyectar el extracto en la cabeza de la columna cromatográfica, en la que este pasa hasta quedar inerte sobre una superficie sólida, donde, tras el paso de un tiempo, gases como el helio o nitrógeno proceden a la movilización del analito por toda la columna para luego identificar el tipo y cantidad de analito presente; para esto se usan una serie de detectores como: Detector de ionización de llama, detector de captura de electrones o el detector fotométrico. Otro método de análisis es la espectrometría de masas, como sistemas de detención en el que se pretende ionizar la muestra, generalmente con métodos como impacto electrónico (EI) y la de ionización química (CI), para una separación y registro de los iones fragmentados, permitiendo información estructural al brindar espectros de masas de mezclas complejas donde a partir de  bases de datos existentes se puede comparar con los espectros de masa de los compuestos ya encontrados para el análisis final, para así determinar el tipo de pesticida mediante varias técnicas diferentes, tales como:GC-MS/MS, GC/FPD, GC/detección fotométrica de llama pulsada (GC/PFPD) y GC/sistema de detección específico de halógeno (GC/XSD).(Rodrigo,2018)</w:t>
      </w:r>
    </w:p>
    <w:p w14:paraId="495DE3D3" w14:textId="77777777" w:rsidR="00CE457C" w:rsidRDefault="006D0369">
      <w:pPr>
        <w:spacing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De acuerdo con la OMS (Organización Mundial de la Salud), “el uso de los plaguicidas por los agricultores genera cerca de 1 millón de casos de intoxicación y aproximadamente de </w:t>
      </w:r>
      <w:r>
        <w:rPr>
          <w:rFonts w:ascii="Times New Roman" w:eastAsia="Times New Roman" w:hAnsi="Times New Roman" w:cs="Times New Roman"/>
          <w:sz w:val="24"/>
          <w:szCs w:val="24"/>
          <w:highlight w:val="white"/>
        </w:rPr>
        <w:lastRenderedPageBreak/>
        <w:t>20 mil muertes por año”(OMS,2018). Los plaguicidas pueden ingresar al organismo por tres vías: Dermal, Respiratoria y Oral, por todas estas razones es muy irresponsable emplear estos plaguicidas sin los elementos adecuados  y un 43% de las cifras anteriormente dadas es referente a casos de irresponsabilidad en el empleamiento de estos agentes externos. Es muy importante estar claros respecto a cómo es la incidencia de estos contaminantes en la salud. Surge, entonces, el siguiente interrogante: ¿en qué partes del cuerpo se produce la absorción dermal? Básicamente este tipo de incidencia se ve reflejada en partes del cuerpo que estén expuestas a estos contaminantes, como pueden ser el rostro, las manos y, en caso de que la ropa no sea de un material suficientemente protector, puede filtrarse y afectar zonas aparentemente cubiertas. Esto, a su vez, plantea una nueva inquietud: ¿cuándo es más común la intoxicación por inhalación? Esta se da cuando se rocían plaguicidas muy tóxicos en espacios cerrados con una ventilación insuficiente y, en ambientes externos, puede darse cuando se usan fumigantes o gases y secuencialmente aumenta la temperatura generando la evaporación de los mismos. ¿Cómo se ingieren los plaguicidas por vía oral? Como ya establecimos anteriormente, si no se sobrepasa la DL50, el agente pasa desapercibido; de lo contrario, si se concentra una mayor concentración en un alimento y este es consumido, genera efectos adversos. Por todos estos factores puede tener efectos como: Lesiones en la piel, dificultad para respirar, dolor en el pecho, desmayos y algunos más graves como: Hepatitis, malformaciones congénitas, discapacidad mental, órganos dañados y diversos tipos de cáncer (Leucemia, cáncer de piel o tumores cerebrales).</w:t>
      </w:r>
    </w:p>
    <w:p w14:paraId="31F9FF3A" w14:textId="77777777" w:rsidR="00CE457C" w:rsidRDefault="006D0369">
      <w:pPr>
        <w:spacing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Teniendo en cuenta lo anterior, los pesticidas llegan a causar grandes problemas a la salud de las personas por medio de la contaminación que estos generan al aire. “El aire es uno de los comportamientos más relevantes para el hombre, ya sea que se considera como un bien común indispensable para la vida” ( González en Sanhueza, 2010, p. 51), esto quiere decir que el aire es importante debido a que cuando se genera algún tipo de contaminación mediante la acción del ser humano, los contaminantes producidos llegan a la atmósfera, en donde “suelen pasar por diversos procesos como son de transporte y transformación, produciendo una dispersión de los contaminantes” (Zaror en Sanhueza, 2010. p. 51).</w:t>
      </w:r>
    </w:p>
    <w:p w14:paraId="5EC12B49" w14:textId="77777777" w:rsidR="00CE457C" w:rsidRDefault="006D0369">
      <w:pPr>
        <w:spacing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De acuerdo a lo anteriormente mencionado, podemos concluir que los pesticidas aunque brindan protección a los cultivos frente a amenazas como las plagas, tienden  a generar más impactos negativos al ambiente y a la salud de las personas. Por esta razón, es necesario buscar alternativas del uso de compuestos menos persistentes y una mayor información de su debido uso, manteniendo un control en los campos, que permita la minimización o mitigación </w:t>
      </w:r>
      <w:r>
        <w:rPr>
          <w:rFonts w:ascii="Times New Roman" w:eastAsia="Times New Roman" w:hAnsi="Times New Roman" w:cs="Times New Roman"/>
          <w:sz w:val="24"/>
          <w:szCs w:val="24"/>
          <w:highlight w:val="white"/>
        </w:rPr>
        <w:lastRenderedPageBreak/>
        <w:t xml:space="preserve">de  los efectos dañinos que estos producen, procurando que los índices de acomulacion  no sobrepasen lo admitido, tanto en los humanos como para  el medio ambiente. </w:t>
      </w:r>
    </w:p>
    <w:p w14:paraId="33A679D8" w14:textId="77777777" w:rsidR="00CE457C" w:rsidRDefault="00CE457C">
      <w:pPr>
        <w:spacing w:line="480" w:lineRule="auto"/>
        <w:jc w:val="both"/>
        <w:rPr>
          <w:rFonts w:ascii="Times New Roman" w:eastAsia="Times New Roman" w:hAnsi="Times New Roman" w:cs="Times New Roman"/>
          <w:sz w:val="24"/>
          <w:szCs w:val="24"/>
          <w:highlight w:val="white"/>
        </w:rPr>
      </w:pPr>
    </w:p>
    <w:p w14:paraId="149D23A5" w14:textId="77777777" w:rsidR="00CE457C" w:rsidRDefault="00CE457C">
      <w:pPr>
        <w:spacing w:line="480" w:lineRule="auto"/>
        <w:jc w:val="both"/>
        <w:rPr>
          <w:rFonts w:ascii="Times New Roman" w:eastAsia="Times New Roman" w:hAnsi="Times New Roman" w:cs="Times New Roman"/>
          <w:sz w:val="24"/>
          <w:szCs w:val="24"/>
          <w:highlight w:val="white"/>
        </w:rPr>
      </w:pPr>
    </w:p>
    <w:p w14:paraId="6B6D320D" w14:textId="20A31A41" w:rsidR="00CE457C" w:rsidRPr="00D3603E" w:rsidRDefault="00D3603E">
      <w:pPr>
        <w:spacing w:line="48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Referencias</w:t>
      </w:r>
    </w:p>
    <w:p w14:paraId="18CADB44" w14:textId="77777777" w:rsidR="00E72D51" w:rsidRDefault="00E72D51" w:rsidP="00E72D51">
      <w:pPr>
        <w:spacing w:line="480" w:lineRule="auto"/>
        <w:jc w:val="both"/>
        <w:rPr>
          <w:rFonts w:ascii="Times New Roman" w:eastAsia="Times New Roman" w:hAnsi="Times New Roman" w:cs="Times New Roman"/>
          <w:color w:val="1155CC"/>
          <w:sz w:val="24"/>
          <w:szCs w:val="24"/>
          <w:highlight w:val="white"/>
          <w:u w:val="single"/>
        </w:rPr>
      </w:pPr>
      <w:r>
        <w:rPr>
          <w:rFonts w:ascii="Times New Roman" w:eastAsia="Times New Roman" w:hAnsi="Times New Roman" w:cs="Times New Roman"/>
          <w:sz w:val="24"/>
          <w:szCs w:val="24"/>
          <w:highlight w:val="white"/>
        </w:rPr>
        <w:t xml:space="preserve">Aparicio, V., De Geronimo, E., Hernandez Guijarro, K., Perez, D., Portocerro, R., &amp; Vidal, C. (2015). Los plaguicidas agregados al suelo y su destino en el ambiente. </w:t>
      </w:r>
      <w:r>
        <w:rPr>
          <w:rFonts w:ascii="Times New Roman" w:eastAsia="Times New Roman" w:hAnsi="Times New Roman" w:cs="Times New Roman"/>
          <w:i/>
          <w:sz w:val="24"/>
          <w:szCs w:val="24"/>
          <w:highlight w:val="white"/>
        </w:rPr>
        <w:t>Los plaguicidas agregados al suelo y su destino en el ambiente</w:t>
      </w:r>
      <w:r>
        <w:rPr>
          <w:rFonts w:ascii="Times New Roman" w:eastAsia="Times New Roman" w:hAnsi="Times New Roman" w:cs="Times New Roman"/>
          <w:sz w:val="24"/>
          <w:szCs w:val="24"/>
          <w:highlight w:val="white"/>
        </w:rPr>
        <w:t>, 17-57. Recuperado de https://inta.gob.ar/sites/default/files/inta_plaguicidas_agregados_al_suelo_2015.pdf.</w:t>
      </w:r>
    </w:p>
    <w:p w14:paraId="7FE2784F" w14:textId="77777777" w:rsidR="00E72D51" w:rsidRDefault="00E72D51" w:rsidP="00E72D51">
      <w:pPr>
        <w:spacing w:before="240" w:after="24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Bedmar, F. (s. f.). </w:t>
      </w:r>
      <w:r>
        <w:rPr>
          <w:rFonts w:ascii="Times New Roman" w:eastAsia="Times New Roman" w:hAnsi="Times New Roman" w:cs="Times New Roman"/>
          <w:i/>
          <w:sz w:val="24"/>
          <w:szCs w:val="24"/>
          <w:highlight w:val="white"/>
        </w:rPr>
        <w:t>Informe especial sobre plaguicidas agrícolas</w:t>
      </w:r>
      <w:r>
        <w:rPr>
          <w:rFonts w:ascii="Times New Roman" w:eastAsia="Times New Roman" w:hAnsi="Times New Roman" w:cs="Times New Roman"/>
          <w:sz w:val="24"/>
          <w:szCs w:val="24"/>
          <w:highlight w:val="white"/>
        </w:rPr>
        <w:t xml:space="preserve">. Recuperado de </w:t>
      </w:r>
      <w:hyperlink r:id="rId10">
        <w:r>
          <w:rPr>
            <w:rFonts w:ascii="Times New Roman" w:eastAsia="Times New Roman" w:hAnsi="Times New Roman" w:cs="Times New Roman"/>
            <w:color w:val="1155CC"/>
            <w:sz w:val="24"/>
            <w:szCs w:val="24"/>
            <w:highlight w:val="white"/>
            <w:u w:val="single"/>
          </w:rPr>
          <w:t>https://www.agro.uba.ar/users/semmarti/Usotierra/CH%20Plaguicidas%20fin.PDF</w:t>
        </w:r>
      </w:hyperlink>
      <w:r>
        <w:rPr>
          <w:rFonts w:ascii="Times New Roman" w:eastAsia="Times New Roman" w:hAnsi="Times New Roman" w:cs="Times New Roman"/>
          <w:sz w:val="24"/>
          <w:szCs w:val="24"/>
          <w:highlight w:val="white"/>
        </w:rPr>
        <w:t>.</w:t>
      </w:r>
    </w:p>
    <w:p w14:paraId="420CEBCE" w14:textId="77777777" w:rsidR="00E72D51" w:rsidRDefault="00E72D51" w:rsidP="00E72D51">
      <w:pPr>
        <w:spacing w:before="240" w:after="240" w:line="360" w:lineRule="auto"/>
        <w:jc w:val="both"/>
        <w:rPr>
          <w:rFonts w:ascii="Times New Roman" w:eastAsia="Times New Roman" w:hAnsi="Times New Roman" w:cs="Times New Roman"/>
          <w:color w:val="1155CC"/>
          <w:sz w:val="24"/>
          <w:szCs w:val="24"/>
          <w:highlight w:val="white"/>
          <w:u w:val="single"/>
        </w:rPr>
      </w:pPr>
      <w:r>
        <w:rPr>
          <w:rFonts w:ascii="Times New Roman" w:eastAsia="Times New Roman" w:hAnsi="Times New Roman" w:cs="Times New Roman"/>
          <w:sz w:val="24"/>
          <w:szCs w:val="24"/>
          <w:highlight w:val="white"/>
        </w:rPr>
        <w:t xml:space="preserve">Guzman Arrubla, L. M. (2017). </w:t>
      </w:r>
      <w:r>
        <w:rPr>
          <w:rFonts w:ascii="Times New Roman" w:eastAsia="Times New Roman" w:hAnsi="Times New Roman" w:cs="Times New Roman"/>
          <w:i/>
          <w:sz w:val="24"/>
          <w:szCs w:val="24"/>
          <w:highlight w:val="white"/>
        </w:rPr>
        <w:t>Evaluación de los impactos ambientales en el cultivo de gulupa ( Passiflora edulis sim ) sobre el recurso hídrico asociado al uso de pesticidas. Caso de estudio Jericó Antioquia</w:t>
      </w:r>
      <w:r>
        <w:rPr>
          <w:rFonts w:ascii="Times New Roman" w:eastAsia="Times New Roman" w:hAnsi="Times New Roman" w:cs="Times New Roman"/>
          <w:sz w:val="24"/>
          <w:szCs w:val="24"/>
          <w:highlight w:val="white"/>
        </w:rPr>
        <w:t>. Recuperado de http://repository.lasallista.edu.co/dspace/bitstream/10567/2010/1/Evaluacion_impactos_ambientales_recurso_hidrico.pdf.</w:t>
      </w:r>
    </w:p>
    <w:p w14:paraId="698D2C52" w14:textId="71CEE1CC" w:rsidR="00E72D51" w:rsidRDefault="006D0369">
      <w:pPr>
        <w:spacing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Pérez Espejo, R., &amp; Aguilar, A. (2014, abril). Agricultura y contaminación del agua. Recuperado abril de 2020, de </w:t>
      </w:r>
      <w:hyperlink r:id="rId11">
        <w:r>
          <w:rPr>
            <w:rFonts w:ascii="Times New Roman" w:eastAsia="Times New Roman" w:hAnsi="Times New Roman" w:cs="Times New Roman"/>
            <w:color w:val="1155CC"/>
            <w:sz w:val="24"/>
            <w:szCs w:val="24"/>
            <w:highlight w:val="white"/>
            <w:u w:val="single"/>
          </w:rPr>
          <w:t>http://www.scielo.org.mx/scielo.php?script=sci_arttext&amp;pid=S0301-70362014000200011</w:t>
        </w:r>
      </w:hyperlink>
      <w:r w:rsidR="00E72D51">
        <w:rPr>
          <w:rFonts w:ascii="Times New Roman" w:eastAsia="Times New Roman" w:hAnsi="Times New Roman" w:cs="Times New Roman"/>
          <w:sz w:val="24"/>
          <w:szCs w:val="24"/>
          <w:highlight w:val="white"/>
        </w:rPr>
        <w:t xml:space="preserve"> </w:t>
      </w:r>
    </w:p>
    <w:p w14:paraId="57261701" w14:textId="67EA3162" w:rsidR="00CE457C" w:rsidRDefault="006D0369">
      <w:pPr>
        <w:spacing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 del Puerto Rodríguez, A., Suárez Tamayo, S., &amp; E. Palacio Estrada, D. (2014). Efectos de los plaguicidas sobre el ambiente y la salud. </w:t>
      </w:r>
      <w:r>
        <w:rPr>
          <w:rFonts w:ascii="Times New Roman" w:eastAsia="Times New Roman" w:hAnsi="Times New Roman" w:cs="Times New Roman"/>
          <w:i/>
          <w:sz w:val="24"/>
          <w:szCs w:val="24"/>
          <w:highlight w:val="white"/>
        </w:rPr>
        <w:t>Efectos de los plaguicidas sobre el ambiente y la salud</w:t>
      </w:r>
      <w:r>
        <w:rPr>
          <w:rFonts w:ascii="Times New Roman" w:eastAsia="Times New Roman" w:hAnsi="Times New Roman" w:cs="Times New Roman"/>
          <w:sz w:val="24"/>
          <w:szCs w:val="24"/>
          <w:highlight w:val="white"/>
        </w:rPr>
        <w:t xml:space="preserve">, 4-7. Recuperado de </w:t>
      </w:r>
      <w:hyperlink r:id="rId12">
        <w:r>
          <w:rPr>
            <w:rFonts w:ascii="Times New Roman" w:eastAsia="Times New Roman" w:hAnsi="Times New Roman" w:cs="Times New Roman"/>
            <w:color w:val="1155CC"/>
            <w:sz w:val="24"/>
            <w:szCs w:val="24"/>
            <w:highlight w:val="white"/>
            <w:u w:val="single"/>
          </w:rPr>
          <w:t>http://scielo.sld.cu/scielo.php?script=sci_arttext&amp;pid=S1561-30032014000300010</w:t>
        </w:r>
      </w:hyperlink>
    </w:p>
    <w:p w14:paraId="3F4F345C" w14:textId="472D3B34" w:rsidR="00CE457C" w:rsidRDefault="006D0369">
      <w:pPr>
        <w:spacing w:before="240" w:after="24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Rodrigo Fernandez, A. (2018). </w:t>
      </w:r>
      <w:r>
        <w:rPr>
          <w:rFonts w:ascii="Times New Roman" w:eastAsia="Times New Roman" w:hAnsi="Times New Roman" w:cs="Times New Roman"/>
          <w:i/>
          <w:sz w:val="24"/>
          <w:szCs w:val="24"/>
          <w:highlight w:val="white"/>
        </w:rPr>
        <w:t>http://e-spacio.uned.es/fez/eserv/bibliuned:master-Ciencias-CyTQ-Arodrigo/Rodrigo_Fernandez_Ana_TFM.pdf</w:t>
      </w:r>
      <w:r>
        <w:rPr>
          <w:rFonts w:ascii="Times New Roman" w:eastAsia="Times New Roman" w:hAnsi="Times New Roman" w:cs="Times New Roman"/>
          <w:sz w:val="24"/>
          <w:szCs w:val="24"/>
          <w:highlight w:val="white"/>
        </w:rPr>
        <w:t xml:space="preserve">. Recuperado de </w:t>
      </w:r>
      <w:hyperlink r:id="rId13">
        <w:r>
          <w:rPr>
            <w:rFonts w:ascii="Times New Roman" w:eastAsia="Times New Roman" w:hAnsi="Times New Roman" w:cs="Times New Roman"/>
            <w:color w:val="1155CC"/>
            <w:sz w:val="24"/>
            <w:szCs w:val="24"/>
            <w:highlight w:val="white"/>
            <w:u w:val="single"/>
          </w:rPr>
          <w:t>http://e-spacio.uned.es/fez/eserv/bibliuned:master-Ciencias-CyTQ-Arodrigo/Rodrigo_Fernandez_Ana_TFM.pdf</w:t>
        </w:r>
      </w:hyperlink>
    </w:p>
    <w:p w14:paraId="5C9890C6" w14:textId="7061C9E0" w:rsidR="00CE457C" w:rsidRDefault="006D0369">
      <w:pPr>
        <w:spacing w:before="240" w:after="24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Sanhueza Gutierrez, C. (2010). </w:t>
      </w:r>
      <w:r>
        <w:rPr>
          <w:rFonts w:ascii="Times New Roman" w:eastAsia="Times New Roman" w:hAnsi="Times New Roman" w:cs="Times New Roman"/>
          <w:i/>
          <w:sz w:val="24"/>
          <w:szCs w:val="24"/>
          <w:highlight w:val="white"/>
        </w:rPr>
        <w:t>Contaminación medioambiental por plaguicidas organoclorados y sus efectos en la salud humana en Chile</w:t>
      </w:r>
      <w:r>
        <w:rPr>
          <w:rFonts w:ascii="Times New Roman" w:eastAsia="Times New Roman" w:hAnsi="Times New Roman" w:cs="Times New Roman"/>
          <w:sz w:val="24"/>
          <w:szCs w:val="24"/>
          <w:highlight w:val="white"/>
        </w:rPr>
        <w:t xml:space="preserve">. Recuperado de </w:t>
      </w:r>
      <w:hyperlink r:id="rId14">
        <w:r>
          <w:rPr>
            <w:rFonts w:ascii="Times New Roman" w:eastAsia="Times New Roman" w:hAnsi="Times New Roman" w:cs="Times New Roman"/>
            <w:color w:val="1155CC"/>
            <w:sz w:val="24"/>
            <w:szCs w:val="24"/>
            <w:highlight w:val="white"/>
            <w:u w:val="single"/>
          </w:rPr>
          <w:t>http://repobib.ubiobio.cl/jspui/bitstream/123456789/1936/1/Sanhueza_Gutierrez_Carolina.pdf</w:t>
        </w:r>
      </w:hyperlink>
      <w:r>
        <w:rPr>
          <w:rFonts w:ascii="Times New Roman" w:eastAsia="Times New Roman" w:hAnsi="Times New Roman" w:cs="Times New Roman"/>
          <w:sz w:val="24"/>
          <w:szCs w:val="24"/>
          <w:highlight w:val="white"/>
        </w:rPr>
        <w:t>.</w:t>
      </w:r>
    </w:p>
    <w:p w14:paraId="145EBF99" w14:textId="77777777" w:rsidR="00CE457C" w:rsidRDefault="00CE457C">
      <w:pPr>
        <w:spacing w:before="240" w:after="240" w:line="360" w:lineRule="auto"/>
        <w:jc w:val="both"/>
        <w:rPr>
          <w:rFonts w:ascii="Times New Roman" w:eastAsia="Times New Roman" w:hAnsi="Times New Roman" w:cs="Times New Roman"/>
          <w:sz w:val="24"/>
          <w:szCs w:val="24"/>
          <w:highlight w:val="white"/>
        </w:rPr>
      </w:pPr>
    </w:p>
    <w:p w14:paraId="11E901AA" w14:textId="77777777" w:rsidR="00CE457C" w:rsidRDefault="00CE457C">
      <w:pPr>
        <w:spacing w:before="240" w:after="240" w:line="360" w:lineRule="auto"/>
        <w:jc w:val="both"/>
        <w:rPr>
          <w:rFonts w:ascii="Times New Roman" w:eastAsia="Times New Roman" w:hAnsi="Times New Roman" w:cs="Times New Roman"/>
          <w:sz w:val="24"/>
          <w:szCs w:val="24"/>
          <w:highlight w:val="white"/>
        </w:rPr>
      </w:pPr>
    </w:p>
    <w:p w14:paraId="32F18943" w14:textId="77777777" w:rsidR="00CE457C" w:rsidRDefault="00CE457C">
      <w:pPr>
        <w:spacing w:before="240" w:after="240" w:line="360" w:lineRule="auto"/>
        <w:jc w:val="both"/>
        <w:rPr>
          <w:rFonts w:ascii="Times New Roman" w:eastAsia="Times New Roman" w:hAnsi="Times New Roman" w:cs="Times New Roman"/>
          <w:sz w:val="24"/>
          <w:szCs w:val="24"/>
          <w:highlight w:val="white"/>
        </w:rPr>
      </w:pPr>
    </w:p>
    <w:p w14:paraId="772B9326" w14:textId="77777777" w:rsidR="00CE457C" w:rsidRDefault="00CE457C">
      <w:pPr>
        <w:spacing w:before="240" w:after="240" w:line="360" w:lineRule="auto"/>
        <w:jc w:val="both"/>
        <w:rPr>
          <w:rFonts w:ascii="Times New Roman" w:eastAsia="Times New Roman" w:hAnsi="Times New Roman" w:cs="Times New Roman"/>
          <w:highlight w:val="white"/>
        </w:rPr>
      </w:pPr>
    </w:p>
    <w:p w14:paraId="5DB90167" w14:textId="77777777" w:rsidR="00CE457C" w:rsidRDefault="00CE457C">
      <w:pPr>
        <w:spacing w:line="360" w:lineRule="auto"/>
        <w:jc w:val="both"/>
        <w:rPr>
          <w:rFonts w:ascii="Times New Roman" w:eastAsia="Times New Roman" w:hAnsi="Times New Roman" w:cs="Times New Roman"/>
          <w:highlight w:val="white"/>
        </w:rPr>
      </w:pPr>
    </w:p>
    <w:p w14:paraId="1D77BC23" w14:textId="77777777" w:rsidR="00CE457C" w:rsidRDefault="00CE457C">
      <w:pPr>
        <w:spacing w:line="360" w:lineRule="auto"/>
        <w:jc w:val="both"/>
        <w:rPr>
          <w:rFonts w:ascii="Times New Roman" w:eastAsia="Times New Roman" w:hAnsi="Times New Roman" w:cs="Times New Roman"/>
          <w:highlight w:val="white"/>
        </w:rPr>
      </w:pPr>
    </w:p>
    <w:p w14:paraId="15795DE3" w14:textId="77777777" w:rsidR="00CE457C" w:rsidRDefault="006D0369">
      <w:pPr>
        <w:spacing w:line="360" w:lineRule="auto"/>
        <w:jc w:val="both"/>
        <w:rPr>
          <w:rFonts w:ascii="Times New Roman" w:eastAsia="Times New Roman" w:hAnsi="Times New Roman" w:cs="Times New Roman"/>
          <w:highlight w:val="white"/>
        </w:rPr>
      </w:pPr>
      <w:r>
        <w:rPr>
          <w:rFonts w:ascii="Times New Roman" w:eastAsia="Times New Roman" w:hAnsi="Times New Roman" w:cs="Times New Roman"/>
          <w:highlight w:val="white"/>
        </w:rPr>
        <w:t xml:space="preserve">     </w:t>
      </w:r>
    </w:p>
    <w:p w14:paraId="6C1398C4" w14:textId="77777777" w:rsidR="00CE457C" w:rsidRDefault="00CE457C">
      <w:pPr>
        <w:spacing w:line="360" w:lineRule="auto"/>
        <w:rPr>
          <w:rFonts w:ascii="Times New Roman" w:eastAsia="Times New Roman" w:hAnsi="Times New Roman" w:cs="Times New Roman"/>
          <w:highlight w:val="white"/>
        </w:rPr>
      </w:pPr>
    </w:p>
    <w:p w14:paraId="46D88619" w14:textId="77777777" w:rsidR="00CE457C" w:rsidRDefault="00CE457C">
      <w:pPr>
        <w:spacing w:line="360" w:lineRule="auto"/>
        <w:rPr>
          <w:rFonts w:ascii="Times New Roman" w:eastAsia="Times New Roman" w:hAnsi="Times New Roman" w:cs="Times New Roman"/>
          <w:highlight w:val="white"/>
        </w:rPr>
      </w:pPr>
    </w:p>
    <w:p w14:paraId="7B9D4053" w14:textId="77777777" w:rsidR="00CE457C" w:rsidRDefault="00CE457C">
      <w:pPr>
        <w:spacing w:line="360" w:lineRule="auto"/>
        <w:rPr>
          <w:rFonts w:ascii="Times New Roman" w:eastAsia="Times New Roman" w:hAnsi="Times New Roman" w:cs="Times New Roman"/>
          <w:highlight w:val="white"/>
        </w:rPr>
      </w:pPr>
    </w:p>
    <w:p w14:paraId="5AB9A8C9" w14:textId="77777777" w:rsidR="00CE457C" w:rsidRDefault="00CE457C">
      <w:pPr>
        <w:spacing w:line="360" w:lineRule="auto"/>
        <w:rPr>
          <w:rFonts w:ascii="Times New Roman" w:eastAsia="Times New Roman" w:hAnsi="Times New Roman" w:cs="Times New Roman"/>
          <w:highlight w:val="white"/>
        </w:rPr>
      </w:pPr>
    </w:p>
    <w:p w14:paraId="1F8D11F2" w14:textId="77777777" w:rsidR="00CE457C" w:rsidRDefault="00CE457C">
      <w:pPr>
        <w:spacing w:line="360" w:lineRule="auto"/>
        <w:rPr>
          <w:rFonts w:ascii="Times New Roman" w:eastAsia="Times New Roman" w:hAnsi="Times New Roman" w:cs="Times New Roman"/>
          <w:sz w:val="24"/>
          <w:szCs w:val="24"/>
        </w:rPr>
      </w:pPr>
    </w:p>
    <w:p w14:paraId="01F62C1D" w14:textId="77777777" w:rsidR="00CE457C" w:rsidRDefault="00CE457C">
      <w:pPr>
        <w:spacing w:line="360" w:lineRule="auto"/>
        <w:rPr>
          <w:rFonts w:ascii="Times New Roman" w:eastAsia="Times New Roman" w:hAnsi="Times New Roman" w:cs="Times New Roman"/>
          <w:sz w:val="24"/>
          <w:szCs w:val="24"/>
        </w:rPr>
      </w:pPr>
    </w:p>
    <w:p w14:paraId="5C06F4AE" w14:textId="77777777" w:rsidR="00CE457C" w:rsidRDefault="00CE457C"/>
    <w:p w14:paraId="11E58E22" w14:textId="77777777" w:rsidR="00CE457C" w:rsidRDefault="00CE457C"/>
    <w:p w14:paraId="2E8A6D71" w14:textId="77777777" w:rsidR="00CE457C" w:rsidRDefault="00CE457C"/>
    <w:p w14:paraId="0F955FA5" w14:textId="77777777" w:rsidR="00CE457C" w:rsidRDefault="00CE457C"/>
    <w:p w14:paraId="7082FD61" w14:textId="77777777" w:rsidR="00CE457C" w:rsidRDefault="00CE457C"/>
    <w:p w14:paraId="6C3F542B" w14:textId="77777777" w:rsidR="00CE457C" w:rsidRDefault="00CE457C"/>
    <w:p w14:paraId="548CDF0B" w14:textId="77777777" w:rsidR="00CE457C" w:rsidRDefault="00CE457C">
      <w:pPr>
        <w:spacing w:before="240" w:after="240"/>
        <w:jc w:val="both"/>
      </w:pPr>
    </w:p>
    <w:p w14:paraId="3B5598B7" w14:textId="77777777" w:rsidR="00CE457C" w:rsidRDefault="00CE457C">
      <w:pPr>
        <w:jc w:val="both"/>
      </w:pPr>
    </w:p>
    <w:sectPr w:rsidR="00CE457C">
      <w:footerReference w:type="default" r:id="rId15"/>
      <w:footerReference w:type="first" r:id="rId16"/>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2701FF" w14:textId="77777777" w:rsidR="00196DEF" w:rsidRDefault="00196DEF">
      <w:pPr>
        <w:spacing w:line="240" w:lineRule="auto"/>
      </w:pPr>
      <w:r>
        <w:separator/>
      </w:r>
    </w:p>
  </w:endnote>
  <w:endnote w:type="continuationSeparator" w:id="0">
    <w:p w14:paraId="22493FED" w14:textId="77777777" w:rsidR="00196DEF" w:rsidRDefault="00196D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49BC39" w14:textId="77777777" w:rsidR="00CE457C" w:rsidRDefault="00CE457C">
    <w:pPr>
      <w:jc w:val="right"/>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6D5F31" w14:textId="77777777" w:rsidR="00CE457C" w:rsidRDefault="00CE457C"/>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9E6A87" w14:textId="77777777" w:rsidR="00196DEF" w:rsidRDefault="00196DEF">
      <w:pPr>
        <w:spacing w:line="240" w:lineRule="auto"/>
      </w:pPr>
      <w:r>
        <w:separator/>
      </w:r>
    </w:p>
  </w:footnote>
  <w:footnote w:type="continuationSeparator" w:id="0">
    <w:p w14:paraId="597B540D" w14:textId="77777777" w:rsidR="00196DEF" w:rsidRDefault="00196DEF">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oNotDisplayPageBoundarie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457C"/>
    <w:rsid w:val="00196DEF"/>
    <w:rsid w:val="00361268"/>
    <w:rsid w:val="00475DB0"/>
    <w:rsid w:val="006D0369"/>
    <w:rsid w:val="00CE457C"/>
    <w:rsid w:val="00D3603E"/>
    <w:rsid w:val="00E72D51"/>
    <w:rsid w:val="00EF7D78"/>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ecimalSymbol w:val=","/>
  <w:listSeparator w:val=","/>
  <w14:docId w14:val="3CAC8BE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s" w:eastAsia="es-ES_tradnl" w:bidi="ar-SA"/>
      </w:rPr>
    </w:rPrDefault>
    <w:pPrDefault>
      <w:pPr>
        <w:spacing w:line="276"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scielo.org.mx/scielo.php?script=sci_arttext&amp;pid=S0301-70362014000200011" TargetMode="External"/><Relationship Id="rId12" Type="http://schemas.openxmlformats.org/officeDocument/2006/relationships/hyperlink" Target="http://scielo.sld.cu/scielo.php?script=sci_arttext&amp;pid=S1561-30032014000300010" TargetMode="External"/><Relationship Id="rId13" Type="http://schemas.openxmlformats.org/officeDocument/2006/relationships/hyperlink" Target="http://e-spacio.uned.es/fez/eserv/bibliuned:master-Ciencias-CyTQ-Arodrigo/Rodrigo_Fernandez_Ana_TFM.pdf" TargetMode="External"/><Relationship Id="rId14" Type="http://schemas.openxmlformats.org/officeDocument/2006/relationships/hyperlink" Target="http://repobib.ubiobio.cl/jspui/bitstream/123456789/1936/1/Sanhueza_Gutierrez_Carolina.pdf" TargetMode="Externa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hyperlink" Target="mailto:laidygomezr@usantotomas.edu.co" TargetMode="External"/><Relationship Id="rId7" Type="http://schemas.openxmlformats.org/officeDocument/2006/relationships/hyperlink" Target="mailto:cristianbraucin@usantotomas.edu.co" TargetMode="External"/><Relationship Id="rId8" Type="http://schemas.openxmlformats.org/officeDocument/2006/relationships/hyperlink" Target="mailto:nicolasforerol@usantotomas.edu.co" TargetMode="External"/><Relationship Id="rId9" Type="http://schemas.openxmlformats.org/officeDocument/2006/relationships/image" Target="media/image1.jpg"/><Relationship Id="rId10" Type="http://schemas.openxmlformats.org/officeDocument/2006/relationships/hyperlink" Target="https://www.agro.uba.ar/users/semmarti/Usotierra/CH%20Plaguicidas%20fi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9</Pages>
  <Words>3312</Words>
  <Characters>18218</Characters>
  <Application>Microsoft Macintosh Word</Application>
  <DocSecurity>0</DocSecurity>
  <Lines>151</Lines>
  <Paragraphs>42</Paragraphs>
  <ScaleCrop>false</ScaleCrop>
  <LinksUpToDate>false</LinksUpToDate>
  <CharactersWithSpaces>21488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Lucho Merchán</cp:lastModifiedBy>
  <cp:revision>6</cp:revision>
  <dcterms:created xsi:type="dcterms:W3CDTF">2020-06-10T18:15:00Z</dcterms:created>
  <dcterms:modified xsi:type="dcterms:W3CDTF">2020-10-15T04:51:00Z</dcterms:modified>
</cp:coreProperties>
</file>