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0EA8" w:rsidRPr="00AB7177" w:rsidRDefault="00950EA8" w:rsidP="00950EA8">
      <w:pPr>
        <w:jc w:val="center"/>
        <w:rPr>
          <w:rFonts w:cs="Arial"/>
          <w:lang w:val="es-ES"/>
        </w:rPr>
      </w:pPr>
      <w:r w:rsidRPr="00AB7177">
        <w:rPr>
          <w:rFonts w:cs="Arial"/>
          <w:lang w:val="es-ES"/>
        </w:rPr>
        <w:t>DETERMINACIÓN DEL POSICIONAMIENTO COMPETITIVO DE SECTORES DE SANTANDER MEDIANTE EL USO DE INDICADORES DE COMERCIO EXTERIOR Y DE POLITICA COMERCIAL</w:t>
      </w:r>
      <w:r w:rsidRPr="00AB7177">
        <w:rPr>
          <w:rStyle w:val="Refdenotaalpie"/>
          <w:rFonts w:cs="Arial"/>
          <w:lang w:val="es-ES"/>
        </w:rPr>
        <w:footnoteReference w:id="1"/>
      </w:r>
    </w:p>
    <w:p w:rsidR="00950EA8" w:rsidRPr="00AB7177" w:rsidRDefault="00950EA8" w:rsidP="00950EA8">
      <w:pPr>
        <w:jc w:val="center"/>
        <w:rPr>
          <w:rFonts w:cs="Arial"/>
          <w:lang w:val="es-ES"/>
        </w:rPr>
      </w:pPr>
      <w:r w:rsidRPr="00AB7177">
        <w:rPr>
          <w:rFonts w:cs="Arial"/>
          <w:lang w:val="es-ES"/>
        </w:rPr>
        <w:t>Edgar Javier Gómez Parada</w:t>
      </w:r>
      <w:r w:rsidRPr="00AB7177">
        <w:rPr>
          <w:rStyle w:val="Refdenotaalpie"/>
          <w:rFonts w:cs="Arial"/>
          <w:lang w:val="es-ES"/>
        </w:rPr>
        <w:footnoteReference w:id="2"/>
      </w:r>
    </w:p>
    <w:p w:rsidR="000C3745" w:rsidRPr="00AB7177" w:rsidRDefault="00AB7177" w:rsidP="000C3745">
      <w:pPr>
        <w:shd w:val="clear" w:color="auto" w:fill="FFFFFF"/>
        <w:spacing w:before="100" w:beforeAutospacing="1" w:after="100" w:afterAutospacing="1"/>
        <w:rPr>
          <w:rFonts w:eastAsia="Times New Roman" w:cs="Arial"/>
          <w:b/>
          <w:color w:val="212121"/>
          <w:lang w:val="es-US" w:eastAsia="es-CO"/>
        </w:rPr>
      </w:pPr>
      <w:r w:rsidRPr="00AB7177">
        <w:rPr>
          <w:rFonts w:eastAsia="Times New Roman" w:cs="Arial"/>
          <w:b/>
          <w:color w:val="212121"/>
          <w:lang w:val="es-US" w:eastAsia="es-CO"/>
        </w:rPr>
        <w:t>Resumen</w:t>
      </w:r>
    </w:p>
    <w:p w:rsidR="000C3745" w:rsidRDefault="000C3745" w:rsidP="000C3745">
      <w:pPr>
        <w:shd w:val="clear" w:color="auto" w:fill="FFFFFF"/>
        <w:spacing w:before="100" w:beforeAutospacing="1" w:after="100" w:afterAutospacing="1"/>
        <w:rPr>
          <w:rFonts w:ascii="Tahoma" w:eastAsia="Times New Roman" w:hAnsi="Tahoma" w:cs="Tahoma"/>
          <w:color w:val="212121"/>
          <w:lang w:val="es-US" w:eastAsia="es-CO"/>
        </w:rPr>
      </w:pPr>
      <w:r w:rsidRPr="00AB7177">
        <w:rPr>
          <w:rFonts w:eastAsia="Times New Roman" w:cs="Arial"/>
          <w:color w:val="212121"/>
          <w:lang w:val="es-US" w:eastAsia="es-CO"/>
        </w:rPr>
        <w:t xml:space="preserve">Existen diversas propuestas de indicadores para analizar la dinámica de los procesos de internacionalización, los más utilizados son la familia de indicadores de Balanza comercial relativa, que conllevan a evidenciar el posicionamiento de los productos exportados por una región o un país de manera general o en un mercado específico. </w:t>
      </w:r>
      <w:r w:rsidR="00DB5867" w:rsidRPr="00AB7177">
        <w:rPr>
          <w:rFonts w:eastAsia="Times New Roman" w:cs="Arial"/>
          <w:color w:val="212121"/>
          <w:lang w:val="es-US" w:eastAsia="es-CO"/>
        </w:rPr>
        <w:t>El posicionamiento comercial se analiza a partir de una matriz valorativa de indicadores de desempeño del comercio exterior.</w:t>
      </w:r>
      <w:r w:rsidRPr="00AB7177">
        <w:rPr>
          <w:rFonts w:eastAsia="Times New Roman" w:cs="Arial"/>
          <w:color w:val="212121"/>
          <w:lang w:val="es-US" w:eastAsia="es-CO"/>
        </w:rPr>
        <w:t xml:space="preserve"> </w:t>
      </w:r>
      <w:r w:rsidR="00DB5867" w:rsidRPr="00AB7177">
        <w:rPr>
          <w:rFonts w:eastAsia="Times New Roman" w:cs="Arial"/>
          <w:color w:val="212121"/>
          <w:lang w:val="es-US" w:eastAsia="es-CO"/>
        </w:rPr>
        <w:t>Para el</w:t>
      </w:r>
      <w:r w:rsidRPr="00AB7177">
        <w:rPr>
          <w:rFonts w:eastAsia="Times New Roman" w:cs="Arial"/>
          <w:color w:val="212121"/>
          <w:lang w:val="es-US" w:eastAsia="es-CO"/>
        </w:rPr>
        <w:t xml:space="preserve"> caso, </w:t>
      </w:r>
      <w:r w:rsidR="00DB5867" w:rsidRPr="00AB7177">
        <w:rPr>
          <w:rFonts w:eastAsia="Times New Roman" w:cs="Arial"/>
          <w:color w:val="212121"/>
          <w:lang w:val="es-US" w:eastAsia="es-CO"/>
        </w:rPr>
        <w:t xml:space="preserve">de analizar el dinamismo comercial se </w:t>
      </w:r>
      <w:r w:rsidRPr="00AB7177">
        <w:rPr>
          <w:rFonts w:eastAsia="Times New Roman" w:cs="Arial"/>
          <w:color w:val="212121"/>
          <w:lang w:val="es-US" w:eastAsia="es-CO"/>
        </w:rPr>
        <w:t xml:space="preserve"> toman como indicadores, </w:t>
      </w:r>
      <w:r w:rsidR="00B56DF5" w:rsidRPr="00AB7177">
        <w:rPr>
          <w:rFonts w:eastAsia="Times New Roman" w:cs="Arial"/>
          <w:color w:val="212121"/>
          <w:lang w:val="es-US" w:eastAsia="es-CO"/>
        </w:rPr>
        <w:t xml:space="preserve">la balanza comercial relativa sectorial en general y </w:t>
      </w:r>
      <w:r w:rsidR="00DB5867" w:rsidRPr="00AB7177">
        <w:rPr>
          <w:rFonts w:eastAsia="Times New Roman" w:cs="Arial"/>
          <w:color w:val="212121"/>
          <w:lang w:val="es-US" w:eastAsia="es-CO"/>
        </w:rPr>
        <w:t xml:space="preserve">la balanza comercial relativa sectorial </w:t>
      </w:r>
      <w:r w:rsidR="00B56DF5" w:rsidRPr="00AB7177">
        <w:rPr>
          <w:rFonts w:eastAsia="Times New Roman" w:cs="Arial"/>
          <w:color w:val="212121"/>
          <w:lang w:val="es-US" w:eastAsia="es-CO"/>
        </w:rPr>
        <w:t xml:space="preserve">aplicada a un mercado específico; el índice de ventaja comparativa revelada y el índice de Balassa.  Los indicadores propuestos se aplican </w:t>
      </w:r>
      <w:r w:rsidR="00353F52" w:rsidRPr="00AB7177">
        <w:rPr>
          <w:rFonts w:eastAsia="Times New Roman" w:cs="Arial"/>
          <w:color w:val="212121"/>
          <w:lang w:val="es-US" w:eastAsia="es-CO"/>
        </w:rPr>
        <w:t>para la canasta exportable de Santander</w:t>
      </w:r>
      <w:r w:rsidR="00B56DF5" w:rsidRPr="00AB7177">
        <w:rPr>
          <w:rFonts w:eastAsia="Times New Roman" w:cs="Arial"/>
          <w:color w:val="212121"/>
          <w:lang w:val="es-US" w:eastAsia="es-CO"/>
        </w:rPr>
        <w:t xml:space="preserve"> y como mercado específico se toma Estados Unidos, por ser  el principal destino de las exportaciones de Santander. </w:t>
      </w:r>
      <w:r w:rsidR="00353F52" w:rsidRPr="00AB7177">
        <w:rPr>
          <w:rFonts w:cs="Arial"/>
        </w:rPr>
        <w:t>Se toman como canasta exportable del Departamento de Santander los primeros 12 capítulos arancelarios, de acuerdo a</w:t>
      </w:r>
      <w:r w:rsidR="00353F52">
        <w:t xml:space="preserve"> la participación y a la dinámica exportadora entre los años 2006 – 2011.</w:t>
      </w:r>
      <w:r w:rsidR="00B56DF5">
        <w:rPr>
          <w:rFonts w:ascii="Tahoma" w:eastAsia="Times New Roman" w:hAnsi="Tahoma" w:cs="Tahoma"/>
          <w:color w:val="212121"/>
          <w:lang w:val="es-US" w:eastAsia="es-CO"/>
        </w:rPr>
        <w:t xml:space="preserve">  La información se toma de la base de datos SIEX (Sistema de Información de Comercio Exterior de Colombia), y se aplica un diseño para los años 2006 – 2012; se elaboran tablas por año para cada indicador y se da la interpretación respectiva de manera particular y global.  Para identificar el comportamiento de cada sector (capítulo arancelario) se elabora una matriz comparativa y se da un análisis cualitativo global sobre el posicionamiento competitivo.</w:t>
      </w:r>
    </w:p>
    <w:p w:rsidR="000C3745" w:rsidRDefault="00353F52" w:rsidP="000C3745">
      <w:pPr>
        <w:shd w:val="clear" w:color="auto" w:fill="FFFFFF"/>
        <w:spacing w:before="100" w:beforeAutospacing="1" w:after="100" w:afterAutospacing="1"/>
        <w:rPr>
          <w:rFonts w:ascii="Tahoma" w:eastAsia="Times New Roman" w:hAnsi="Tahoma" w:cs="Tahoma"/>
          <w:color w:val="212121"/>
          <w:lang w:val="es-US" w:eastAsia="es-CO"/>
        </w:rPr>
      </w:pPr>
      <w:r>
        <w:rPr>
          <w:rFonts w:ascii="Tahoma" w:eastAsia="Times New Roman" w:hAnsi="Tahoma" w:cs="Tahoma"/>
          <w:color w:val="212121"/>
          <w:lang w:val="es-US" w:eastAsia="es-CO"/>
        </w:rPr>
        <w:t>A partir del trabajo planteado se encuentran diferentes en las interpretaciones de los indicadores de balanza comercial relativa, pero de manera general reflejan el comportamiento del sector.  Al hacer un estudio longitudinal, permite además analizar el comportamiento de cada sector en el mercado.  Se recomienda, en todos los casos de aplicación de los indicadores, tener en cuenta la situación del contexto para hacer un análisis más integral.</w:t>
      </w:r>
      <w:r w:rsidR="00DB5867">
        <w:rPr>
          <w:rFonts w:ascii="Tahoma" w:eastAsia="Times New Roman" w:hAnsi="Tahoma" w:cs="Tahoma"/>
          <w:color w:val="212121"/>
          <w:lang w:val="es-US" w:eastAsia="es-CO"/>
        </w:rPr>
        <w:t xml:space="preserve"> El principal aporte de este trabajo, es integrar en un modelo conjunto la valoración del posicionamiento comercial y el dinamismo comercial para una interpretación global de la situación competitiva de los sectores exportadores.</w:t>
      </w:r>
    </w:p>
    <w:p w:rsidR="000C3745" w:rsidRPr="00034AEC" w:rsidRDefault="000C3745" w:rsidP="000C3745">
      <w:pPr>
        <w:shd w:val="clear" w:color="auto" w:fill="FFFFFF"/>
        <w:spacing w:before="100" w:beforeAutospacing="1" w:after="100" w:afterAutospacing="1"/>
        <w:rPr>
          <w:rFonts w:ascii="Calibri" w:eastAsia="Times New Roman" w:hAnsi="Calibri"/>
          <w:color w:val="212121"/>
          <w:lang w:val="es-US" w:eastAsia="es-CO"/>
        </w:rPr>
      </w:pPr>
    </w:p>
    <w:p w:rsidR="000C3745" w:rsidRPr="000C3745" w:rsidRDefault="00950EA8" w:rsidP="000C3745">
      <w:pPr>
        <w:shd w:val="clear" w:color="auto" w:fill="FFFFFF"/>
        <w:spacing w:before="100" w:beforeAutospacing="1" w:after="100" w:afterAutospacing="1"/>
        <w:rPr>
          <w:rFonts w:ascii="Calibri" w:eastAsia="Times New Roman" w:hAnsi="Calibri"/>
          <w:color w:val="212121"/>
          <w:lang w:val="es-US" w:eastAsia="es-CO"/>
        </w:rPr>
      </w:pPr>
      <w:r w:rsidRPr="000C3745">
        <w:rPr>
          <w:rFonts w:ascii="Tahoma" w:eastAsia="Times New Roman" w:hAnsi="Tahoma" w:cs="Tahoma"/>
          <w:b/>
          <w:bCs/>
          <w:color w:val="212121"/>
          <w:lang w:val="es-US" w:eastAsia="es-CO"/>
        </w:rPr>
        <w:t>Palabras clave. </w:t>
      </w:r>
    </w:p>
    <w:p w:rsidR="000C3745" w:rsidRPr="000C3745" w:rsidRDefault="000C3745" w:rsidP="000C3745">
      <w:pPr>
        <w:shd w:val="clear" w:color="auto" w:fill="FFFFFF"/>
        <w:spacing w:before="100" w:beforeAutospacing="1" w:after="100" w:afterAutospacing="1"/>
        <w:rPr>
          <w:rFonts w:ascii="Calibri" w:eastAsia="Times New Roman" w:hAnsi="Calibri"/>
          <w:color w:val="212121"/>
          <w:lang w:val="es-US" w:eastAsia="es-CO"/>
        </w:rPr>
      </w:pPr>
      <w:r>
        <w:rPr>
          <w:rFonts w:ascii="Calibri" w:eastAsia="Times New Roman" w:hAnsi="Calibri"/>
          <w:color w:val="212121"/>
          <w:lang w:val="es-US" w:eastAsia="es-CO"/>
        </w:rPr>
        <w:t>INDICADORES DE COMERCIO EXTERIOR.  POSICIONAMIENTO COMPETITIVO.  BALANZA COMERCIAL RELATIVA</w:t>
      </w:r>
    </w:p>
    <w:p w:rsidR="000C3745" w:rsidRDefault="00950EA8" w:rsidP="000C3745">
      <w:pPr>
        <w:shd w:val="clear" w:color="auto" w:fill="FFFFFF"/>
        <w:spacing w:before="100" w:beforeAutospacing="1" w:after="100" w:afterAutospacing="1"/>
        <w:rPr>
          <w:rFonts w:ascii="Tahoma" w:eastAsia="Times New Roman" w:hAnsi="Tahoma" w:cs="Tahoma"/>
          <w:b/>
          <w:bCs/>
          <w:color w:val="212121"/>
          <w:lang w:val="es-US" w:eastAsia="es-CO"/>
        </w:rPr>
      </w:pPr>
      <w:r w:rsidRPr="00034AEC">
        <w:rPr>
          <w:rFonts w:ascii="Tahoma" w:eastAsia="Times New Roman" w:hAnsi="Tahoma" w:cs="Tahoma"/>
          <w:b/>
          <w:bCs/>
          <w:color w:val="212121"/>
          <w:lang w:val="es-US" w:eastAsia="es-CO"/>
        </w:rPr>
        <w:t>Introducción. </w:t>
      </w:r>
    </w:p>
    <w:p w:rsidR="004F319C" w:rsidRPr="004F319C" w:rsidRDefault="004F319C" w:rsidP="000C3745">
      <w:pPr>
        <w:shd w:val="clear" w:color="auto" w:fill="FFFFFF"/>
        <w:spacing w:before="100" w:beforeAutospacing="1" w:after="100" w:afterAutospacing="1"/>
        <w:rPr>
          <w:rFonts w:cs="Arial"/>
        </w:rPr>
      </w:pPr>
      <w:r w:rsidRPr="004F319C">
        <w:rPr>
          <w:rFonts w:cs="Arial"/>
        </w:rPr>
        <w:t>La competitividad es un término que se viene utilizando con bastante interés en los ámbitos académicos, buscando trascender a los escenarios empresariales y políticos, por cuanto los países y las empresas buscan que sus productos y servicios sean competitivos; tanto así que sobre “la competitividad y para la competitividad” se plantean políticas, planes, estrategias y programas.</w:t>
      </w:r>
    </w:p>
    <w:p w:rsidR="004F319C" w:rsidRPr="004F319C" w:rsidRDefault="004F319C" w:rsidP="004F319C">
      <w:pPr>
        <w:pStyle w:val="NormalWeb"/>
        <w:shd w:val="clear" w:color="auto" w:fill="FFFFFF"/>
        <w:spacing w:before="0" w:after="0"/>
        <w:outlineLvl w:val="0"/>
        <w:rPr>
          <w:rFonts w:ascii="Arial" w:hAnsi="Arial" w:cs="Arial"/>
          <w:color w:val="auto"/>
          <w:szCs w:val="24"/>
        </w:rPr>
      </w:pPr>
      <w:r w:rsidRPr="004F319C">
        <w:rPr>
          <w:rFonts w:ascii="Arial" w:hAnsi="Arial" w:cs="Arial"/>
          <w:color w:val="auto"/>
          <w:szCs w:val="24"/>
        </w:rPr>
        <w:t xml:space="preserve">De ahí que sea importante definir mecanismos para la medición de la competitividad, no solo de manera desagregada, sino buscar una mirada holística que entregue una información bastante confiable sobre el comportamiento, posicionamiento y peso relativo de un sector dentro de la dinámica internacional de una economía.  Más aún, cuando las perspectivas de desarrollo soportan uno de sus ejes en las exportaciones e internacionalización de la economía.  </w:t>
      </w:r>
    </w:p>
    <w:p w:rsidR="004F319C" w:rsidRPr="004F319C" w:rsidRDefault="004F319C" w:rsidP="004F319C">
      <w:pPr>
        <w:pStyle w:val="NormalWeb"/>
        <w:shd w:val="clear" w:color="auto" w:fill="FFFFFF"/>
        <w:spacing w:before="0" w:after="0"/>
        <w:outlineLvl w:val="0"/>
        <w:rPr>
          <w:rFonts w:ascii="Arial" w:hAnsi="Arial" w:cs="Arial"/>
          <w:color w:val="auto"/>
          <w:szCs w:val="24"/>
        </w:rPr>
      </w:pPr>
    </w:p>
    <w:p w:rsidR="004F319C" w:rsidRPr="004F319C" w:rsidRDefault="004F319C" w:rsidP="004F319C">
      <w:pPr>
        <w:pStyle w:val="NormalWeb"/>
        <w:shd w:val="clear" w:color="auto" w:fill="FFFFFF"/>
        <w:spacing w:before="0" w:after="0"/>
        <w:outlineLvl w:val="0"/>
        <w:rPr>
          <w:rFonts w:ascii="Arial" w:hAnsi="Arial" w:cs="Arial"/>
          <w:color w:val="auto"/>
          <w:szCs w:val="24"/>
        </w:rPr>
      </w:pPr>
      <w:r w:rsidRPr="004F319C">
        <w:rPr>
          <w:rFonts w:ascii="Arial" w:hAnsi="Arial" w:cs="Arial"/>
          <w:color w:val="auto"/>
          <w:szCs w:val="24"/>
        </w:rPr>
        <w:t>Se encuentran estudios que aplican indicadores de competitividad e indicadores de comercio exterior.  Los más utilizados son los de las exportaciones, la balanza comercial, la participación sobre el total de exportaciones, entre otros.  Para el caso colombiano, se evidencian avances en los indicadores de comercio exterior que realiza el observatorio de competitividad y publica el DANE, donde se calcula la tasa de apertura exportadora TAE y la tasa de penetración de las importaciones TPI.  (Ver DANE indicadores de comercio exterior).  Dichos indicadores reflejan un panorama sobre la participación del sector frente a la producción doméstica y el consumo.</w:t>
      </w:r>
    </w:p>
    <w:p w:rsidR="004F319C" w:rsidRPr="004F319C" w:rsidRDefault="004F319C" w:rsidP="004F319C">
      <w:pPr>
        <w:pStyle w:val="NormalWeb"/>
        <w:shd w:val="clear" w:color="auto" w:fill="FFFFFF"/>
        <w:spacing w:before="0" w:after="0"/>
        <w:outlineLvl w:val="0"/>
        <w:rPr>
          <w:rFonts w:ascii="Arial" w:hAnsi="Arial" w:cs="Arial"/>
          <w:color w:val="auto"/>
          <w:szCs w:val="24"/>
        </w:rPr>
      </w:pPr>
    </w:p>
    <w:p w:rsidR="004F319C" w:rsidRPr="004F319C" w:rsidRDefault="004F319C" w:rsidP="004F319C">
      <w:pPr>
        <w:widowControl w:val="0"/>
        <w:outlineLvl w:val="0"/>
      </w:pPr>
      <w:r w:rsidRPr="004F319C">
        <w:t xml:space="preserve">Pero no se evidencian estudios que hagan una mayor exploración sobre diversos indicadores de comercio exterior, y esfuerzos de una mirada integradora sobre dichos indicadores.  La propuesta teórica y metodológica sobre indicadores de competitividad y de comercio exterior es abundante, pero en la práctica ha sido poco explorada.  Menos aún a nivel regional y a nivel sectorial.  Lo que se pretende con la presente propuesta, es aplicar la diversidad de indicadores de comercio exterior en relación con la posición comercial,  dinamismo comercial y dinámica relativa al comercio intrarregional a la canasta exportable del departamento de Santander y a partir de dichos indicadores hacer un análisis holístico sobre el posicionamiento y perspectivas de cada sector en el ámbito internacional. </w:t>
      </w:r>
    </w:p>
    <w:p w:rsidR="004F319C" w:rsidRPr="004F319C" w:rsidRDefault="004F319C" w:rsidP="004F319C">
      <w:pPr>
        <w:widowControl w:val="0"/>
        <w:outlineLvl w:val="0"/>
      </w:pPr>
    </w:p>
    <w:p w:rsidR="004F319C" w:rsidRPr="004F319C" w:rsidRDefault="004F319C" w:rsidP="004F319C">
      <w:pPr>
        <w:widowControl w:val="0"/>
        <w:outlineLvl w:val="0"/>
      </w:pPr>
      <w:r w:rsidRPr="004F319C">
        <w:t xml:space="preserve">Los resultados del estudio cobran importancia para el sector académico, empresarial y gubernamental.  Para el sector académico, por un lado porque </w:t>
      </w:r>
      <w:r w:rsidRPr="004F319C">
        <w:lastRenderedPageBreak/>
        <w:t xml:space="preserve">muestra la aplicabilidad de los indicadores y abre un nuevo campo de estudio por cuanto no se ha avanzado en ese sentido al igual que permite confrontar las estrategias actuales con el posicionamiento competitivo real de cada sector.  Para el sector gubernamental - nacional y regional - se convierte en una herramienta fundamental en el proceso de toma de decisiones de políticas y programas de desarrollo de apoyo a las empresas, a la generación de empleo y a la internacionalización.  Los sectores exportadores de Santander pueden utilizar la información de los resultados del proyecto para conocer la posición real dentro del conjunto de exportadores y la posición en los distintos mercados, que puede servir de base para tomar decisiones respecto a las mejores estrategias futuras para mejorar el desempeño competitivo. </w:t>
      </w:r>
    </w:p>
    <w:p w:rsidR="004F319C" w:rsidRPr="004F319C" w:rsidRDefault="004F319C" w:rsidP="004F319C">
      <w:pPr>
        <w:outlineLvl w:val="0"/>
        <w:rPr>
          <w:b/>
        </w:rPr>
      </w:pPr>
    </w:p>
    <w:p w:rsidR="004F319C" w:rsidRPr="004F319C" w:rsidRDefault="004F319C" w:rsidP="004F319C">
      <w:pPr>
        <w:outlineLvl w:val="0"/>
      </w:pPr>
      <w:r w:rsidRPr="004F319C">
        <w:t>Los objetivos planteados para la investigación fueron los siguientes:</w:t>
      </w:r>
    </w:p>
    <w:p w:rsidR="004F319C" w:rsidRPr="004F319C" w:rsidRDefault="004F319C" w:rsidP="004F319C">
      <w:pPr>
        <w:outlineLvl w:val="0"/>
      </w:pPr>
    </w:p>
    <w:p w:rsidR="004F319C" w:rsidRPr="004F319C" w:rsidRDefault="004F319C" w:rsidP="004F319C">
      <w:pPr>
        <w:outlineLvl w:val="0"/>
      </w:pPr>
      <w:r w:rsidRPr="004F319C">
        <w:t>Objetivo general: Determinar el posicionamiento competitivo de sectores de Santander mediante el uso de indicadores de comercio exterior, de política comercial y de dinamismo comercial e intrarregional.</w:t>
      </w:r>
    </w:p>
    <w:p w:rsidR="004F319C" w:rsidRPr="004F319C" w:rsidRDefault="004F319C" w:rsidP="004F319C">
      <w:pPr>
        <w:outlineLvl w:val="0"/>
      </w:pPr>
    </w:p>
    <w:p w:rsidR="004F319C" w:rsidRPr="004F319C" w:rsidRDefault="004F319C" w:rsidP="004F319C">
      <w:pPr>
        <w:widowControl w:val="0"/>
        <w:outlineLvl w:val="0"/>
      </w:pPr>
      <w:r w:rsidRPr="004F319C">
        <w:t>Con los siguientes objetivos específicos:</w:t>
      </w:r>
    </w:p>
    <w:p w:rsidR="004F319C" w:rsidRPr="004F319C" w:rsidRDefault="004F319C" w:rsidP="004F319C">
      <w:pPr>
        <w:widowControl w:val="0"/>
        <w:ind w:left="720"/>
        <w:outlineLvl w:val="0"/>
        <w:rPr>
          <w:b/>
        </w:rPr>
      </w:pPr>
    </w:p>
    <w:p w:rsidR="004F319C" w:rsidRPr="004F319C" w:rsidRDefault="004F319C" w:rsidP="004F319C">
      <w:pPr>
        <w:numPr>
          <w:ilvl w:val="0"/>
          <w:numId w:val="18"/>
        </w:numPr>
        <w:outlineLvl w:val="0"/>
      </w:pPr>
      <w:r w:rsidRPr="004F319C">
        <w:t>Analizar la dinámica productiva de bienes y servicios relacionados con el comercio exterior de Santander para seleccionar la canasta exportable de Santander.</w:t>
      </w:r>
    </w:p>
    <w:p w:rsidR="004F319C" w:rsidRPr="004F319C" w:rsidRDefault="004F319C" w:rsidP="004F319C">
      <w:pPr>
        <w:outlineLvl w:val="0"/>
      </w:pPr>
    </w:p>
    <w:p w:rsidR="004F319C" w:rsidRPr="004F319C" w:rsidRDefault="004F319C" w:rsidP="004F319C">
      <w:pPr>
        <w:numPr>
          <w:ilvl w:val="0"/>
          <w:numId w:val="18"/>
        </w:numPr>
        <w:outlineLvl w:val="0"/>
      </w:pPr>
      <w:r w:rsidRPr="004F319C">
        <w:t>Determinar la situación del posicionamiento comercial de sectores identificados dentro de la canasta exportable de Santander, mediante la aplicación de indicadores.</w:t>
      </w:r>
    </w:p>
    <w:p w:rsidR="004F319C" w:rsidRPr="004F319C" w:rsidRDefault="004F319C" w:rsidP="004F319C">
      <w:pPr>
        <w:outlineLvl w:val="0"/>
      </w:pPr>
    </w:p>
    <w:p w:rsidR="004F319C" w:rsidRPr="004F319C" w:rsidRDefault="004F319C" w:rsidP="004F319C">
      <w:pPr>
        <w:numPr>
          <w:ilvl w:val="0"/>
          <w:numId w:val="18"/>
        </w:numPr>
        <w:outlineLvl w:val="0"/>
      </w:pPr>
      <w:r w:rsidRPr="004F319C">
        <w:t>Establecer la evaluación del dinamismo comercial de sectores identificados dentro de la canasta exportable de Santander, a través de la aplicación de indicadores.</w:t>
      </w:r>
    </w:p>
    <w:p w:rsidR="004F319C" w:rsidRPr="004F319C" w:rsidRDefault="004F319C" w:rsidP="004F319C">
      <w:pPr>
        <w:outlineLvl w:val="0"/>
      </w:pPr>
    </w:p>
    <w:p w:rsidR="004F319C" w:rsidRPr="004F319C" w:rsidRDefault="004F319C" w:rsidP="004F319C">
      <w:pPr>
        <w:numPr>
          <w:ilvl w:val="0"/>
          <w:numId w:val="18"/>
        </w:numPr>
        <w:outlineLvl w:val="0"/>
      </w:pPr>
      <w:r w:rsidRPr="004F319C">
        <w:t>Analizar la dinámica relativa del comercio intrarregional para sectores de la canasta exportable de Santander.</w:t>
      </w:r>
    </w:p>
    <w:p w:rsidR="004F319C" w:rsidRPr="004F319C" w:rsidRDefault="004F319C" w:rsidP="004F319C">
      <w:pPr>
        <w:outlineLvl w:val="0"/>
      </w:pPr>
    </w:p>
    <w:p w:rsidR="004F319C" w:rsidRPr="004F319C" w:rsidRDefault="004F319C" w:rsidP="004F319C">
      <w:pPr>
        <w:numPr>
          <w:ilvl w:val="0"/>
          <w:numId w:val="18"/>
        </w:numPr>
        <w:outlineLvl w:val="0"/>
      </w:pPr>
      <w:r w:rsidRPr="004F319C">
        <w:t>Analizar integralmente la situación competitiva de los  sectores estratégicos de la canasta exportable de Santander con base en los indicadores aplicados.</w:t>
      </w:r>
    </w:p>
    <w:p w:rsidR="00950EA8" w:rsidRDefault="00950EA8" w:rsidP="00653B39">
      <w:pPr>
        <w:shd w:val="clear" w:color="auto" w:fill="FFFFFF"/>
        <w:spacing w:before="100" w:beforeAutospacing="1" w:after="100" w:afterAutospacing="1"/>
        <w:rPr>
          <w:rFonts w:ascii="Tahoma" w:eastAsia="Times New Roman" w:hAnsi="Tahoma" w:cs="Tahoma"/>
          <w:color w:val="212121"/>
          <w:lang w:val="es-US" w:eastAsia="es-CO"/>
        </w:rPr>
      </w:pPr>
      <w:r w:rsidRPr="00034AEC">
        <w:rPr>
          <w:rFonts w:ascii="Tahoma" w:eastAsia="Times New Roman" w:hAnsi="Tahoma" w:cs="Tahoma"/>
          <w:b/>
          <w:bCs/>
          <w:color w:val="212121"/>
          <w:lang w:val="es-US" w:eastAsia="es-CO"/>
        </w:rPr>
        <w:t>Marco teórico. </w:t>
      </w:r>
    </w:p>
    <w:p w:rsidR="004F319C" w:rsidRDefault="004F319C" w:rsidP="004F319C">
      <w:r w:rsidRPr="00FE4EAC">
        <w:t xml:space="preserve">El comercio exterior se define como la actividad comercial que realiza una región más allá de sus fronteras; se refiere al intercambio de mercancías, productos y servicios que se realiza entre proveedores y consumidores, residentes en dos o más mercados de países distintos.  Es decir, que dichas transacciones son realizadas por empresas de diferentes territorios aduaneros.  </w:t>
      </w:r>
    </w:p>
    <w:p w:rsidR="004F319C" w:rsidRPr="00FE4EAC" w:rsidRDefault="004F319C" w:rsidP="004F319C"/>
    <w:p w:rsidR="004F319C" w:rsidRDefault="004F319C" w:rsidP="004F319C">
      <w:r w:rsidRPr="00FE4EAC">
        <w:lastRenderedPageBreak/>
        <w:t xml:space="preserve">El comercio exterior de una región hace parte de su sistema económico, como vendedor y comprador de bienes y servicios en mercados externos. Las operaciones de comercio exterior son principalmente, exportaciones, importaciones y estadísticamente se registran en la balanza comercial de los territorios o países implicados. </w:t>
      </w:r>
    </w:p>
    <w:p w:rsidR="004F319C" w:rsidRPr="00FE4EAC" w:rsidRDefault="004F319C" w:rsidP="004F319C"/>
    <w:p w:rsidR="004F319C" w:rsidRDefault="004F319C" w:rsidP="004F319C">
      <w:r w:rsidRPr="00FE4EAC">
        <w:t xml:space="preserve">Para identificar las funciones que ejerce el comercio exterior para una región, se pueden ubicar </w:t>
      </w:r>
      <w:r>
        <w:t xml:space="preserve">en exportaciones, importaciones.  </w:t>
      </w:r>
      <w:r w:rsidRPr="00FE4EAC">
        <w:t xml:space="preserve">En relación con las exportaciones se destacan: ubicación de excedentes de producción que no logran ser vendidas en el mercado local, generación de divisas para el país, generación de empleos.  Respecto a las importaciones: adquisición de insumos y/o servicios que no son conseguidos en el mercado local, mejores precios y calidad y fomento tecnológico.  </w:t>
      </w:r>
    </w:p>
    <w:p w:rsidR="004F319C" w:rsidRPr="00FE4EAC" w:rsidRDefault="004F319C" w:rsidP="004F319C"/>
    <w:p w:rsidR="004F319C" w:rsidRPr="00FE4EAC" w:rsidRDefault="004F319C" w:rsidP="004F319C">
      <w:r w:rsidRPr="00FE4EAC">
        <w:t>Dentro del comercio exterior, las exportaciones, son consideradas el principal mecanismo de internacionalización, especialmente por los países en vía de desarrollo y por las pymes y microempresas.  La exportación se define como una forma de entrada al mercado de un país externo.</w:t>
      </w:r>
    </w:p>
    <w:p w:rsidR="004F319C" w:rsidRPr="00FE4EAC" w:rsidRDefault="004F319C" w:rsidP="004F319C"/>
    <w:p w:rsidR="004F319C" w:rsidRPr="00FE4EAC" w:rsidRDefault="004F319C" w:rsidP="004F319C">
      <w:r w:rsidRPr="00FE4EAC">
        <w:t>Una empresa internacionalizada, según Rugman y Hodgetts (1997) es aquella que realiza cualquier operación de su cadena de valor en un país que no es el local, para lo cual debe adaptarse a  las transacciones de los mercados extranjeros, lo que implica que tiene que hacer ajustes internos en estructura, estrategia y recursos.</w:t>
      </w:r>
    </w:p>
    <w:p w:rsidR="004F319C" w:rsidRDefault="004F319C" w:rsidP="00950EA8"/>
    <w:p w:rsidR="00950EA8" w:rsidRDefault="00950EA8" w:rsidP="00950EA8">
      <w:r>
        <w:t xml:space="preserve">Las teorías de la internacionalización empresarial explican el proceso de posicionamiento de las empresas a través de sus bienes y servicios en mercados externos.  Por las características socioeconómicas de los sectores industriales de Colombia y especialmente de Santander y por el grado de internacionalización de las industrias de la región, se toman las teorías que describen la internacionalización como un proceso evolutivo (modelo de Uppsala) que avanza en la relación del compromiso empresarial con el conocimiento; el modelo de ciclo de vida del producto que explica por fases el desempeño de productos en el mercado, el enfoque de recursos y capacidades y la teoría de redes.  </w:t>
      </w:r>
    </w:p>
    <w:p w:rsidR="00950EA8" w:rsidRDefault="00950EA8" w:rsidP="00950EA8"/>
    <w:p w:rsidR="00950EA8" w:rsidRPr="004F319C" w:rsidRDefault="00950EA8" w:rsidP="00653B39">
      <w:pPr>
        <w:autoSpaceDE w:val="0"/>
        <w:autoSpaceDN w:val="0"/>
        <w:adjustRightInd w:val="0"/>
      </w:pPr>
      <w:r w:rsidRPr="004F319C">
        <w:t>Este enfoque es uno de los  más aceptad</w:t>
      </w:r>
      <w:bookmarkStart w:id="0" w:name="_GoBack"/>
      <w:bookmarkEnd w:id="0"/>
      <w:r w:rsidRPr="004F319C">
        <w:t>os en los últimos 20 años para explicar las razones de internacionalización de las empresas.  Según (Rialp 1999) este modelo explica la internacionalización como un proceso de desarrollo gradual que llevan a cabo las empresas en distintas fases durante un periodo relativamente largo hacia un compromiso creciente hacia los mercados exteriores, haciendo énfasis en el aprendizaje obtenido y en el control de las variables.  Por tanto la exportación es toda una experiencia de aprendizaje en el ámbito internacional (Root, 1994).</w:t>
      </w:r>
    </w:p>
    <w:p w:rsidR="00950EA8" w:rsidRPr="004F319C" w:rsidRDefault="00950EA8" w:rsidP="00950EA8">
      <w:pPr>
        <w:autoSpaceDE w:val="0"/>
        <w:autoSpaceDN w:val="0"/>
        <w:adjustRightInd w:val="0"/>
      </w:pPr>
    </w:p>
    <w:p w:rsidR="00950EA8" w:rsidRPr="004F319C" w:rsidRDefault="00950EA8" w:rsidP="00653B39">
      <w:pPr>
        <w:autoSpaceDE w:val="0"/>
        <w:autoSpaceDN w:val="0"/>
        <w:adjustRightInd w:val="0"/>
      </w:pPr>
      <w:r w:rsidRPr="004F319C">
        <w:t xml:space="preserve">El proceso de internacionalización se lleva a cabo mediante una serie de etapas sucesivas que se denominan cadena de establecimiento en un mercado externo (Rialp 1997) y que se presentan a continuación.  En la primera etapa la empresa realiza exportaciones esporádicas e irregulares, casi siempre de manera indirecta.  </w:t>
      </w:r>
      <w:r w:rsidRPr="004F319C">
        <w:lastRenderedPageBreak/>
        <w:t>Se inicia el proceso con escasa información sobre el mercado destino y la característica principal de esta etapa es la poca o nula inversión hacia el conocimiento del mercado; el objetivo de esta primera fase es la adquisición del conocimiento sobre este mercado.  Hasta tanto no se logre suficiente información sobre dicho mercado no se puede avanzar a etapas posteriores.</w:t>
      </w:r>
    </w:p>
    <w:p w:rsidR="00950EA8" w:rsidRPr="004F319C" w:rsidRDefault="00950EA8" w:rsidP="00950EA8">
      <w:pPr>
        <w:autoSpaceDE w:val="0"/>
        <w:autoSpaceDN w:val="0"/>
        <w:adjustRightInd w:val="0"/>
      </w:pPr>
    </w:p>
    <w:p w:rsidR="00950EA8" w:rsidRPr="004F319C" w:rsidRDefault="00950EA8" w:rsidP="00653B39">
      <w:pPr>
        <w:autoSpaceDE w:val="0"/>
        <w:autoSpaceDN w:val="0"/>
        <w:adjustRightInd w:val="0"/>
      </w:pPr>
      <w:r w:rsidRPr="004F319C">
        <w:t xml:space="preserve">En la segunda etapa la organización establece negocios internacionales a través de representantes independientes o agentes comercializadores a través de los cuales obtiene información del mercado.  Se caracteriza esta fase porque la empresa ya realiza esfuerzos sobre el conocimiento del mercado que le lleven a consolidar las exportaciones con el objetivo de ejercer un mayor control sobre las ventas.  </w:t>
      </w:r>
    </w:p>
    <w:p w:rsidR="00950EA8" w:rsidRPr="004F319C" w:rsidRDefault="00950EA8" w:rsidP="00950EA8">
      <w:pPr>
        <w:autoSpaceDE w:val="0"/>
        <w:autoSpaceDN w:val="0"/>
        <w:adjustRightInd w:val="0"/>
      </w:pPr>
    </w:p>
    <w:p w:rsidR="00950EA8" w:rsidRPr="004F319C" w:rsidRDefault="00950EA8" w:rsidP="00653B39">
      <w:pPr>
        <w:autoSpaceDE w:val="0"/>
        <w:autoSpaceDN w:val="0"/>
        <w:adjustRightInd w:val="0"/>
      </w:pPr>
      <w:r w:rsidRPr="004F319C">
        <w:t>Cuando ya se logra suficiente conocimiento del mercado y control total sobre las ventas y sobre el proceso de exportación, se da la tercera etapa que es el establecimiento de empresas filiales en el mercado externo o licencias internacionales para la venta del producto.  La característica de esta tercera etapa es el control de las ventas y la amplia información que se tiene del comportamiento del mercado.  El objetivo de esta etapa es adquirir una amplia experiencia sobre el mercado destino que conlleve a establecer diferencias con los competidores.</w:t>
      </w:r>
    </w:p>
    <w:p w:rsidR="00950EA8" w:rsidRPr="004F319C" w:rsidRDefault="00950EA8" w:rsidP="00950EA8">
      <w:pPr>
        <w:autoSpaceDE w:val="0"/>
        <w:autoSpaceDN w:val="0"/>
        <w:adjustRightInd w:val="0"/>
      </w:pPr>
    </w:p>
    <w:p w:rsidR="00950EA8" w:rsidRPr="004F319C" w:rsidRDefault="00950EA8" w:rsidP="00653B39">
      <w:pPr>
        <w:autoSpaceDE w:val="0"/>
        <w:autoSpaceDN w:val="0"/>
        <w:adjustRightInd w:val="0"/>
      </w:pPr>
      <w:r w:rsidRPr="004F319C">
        <w:t>En una fase posterior la empresa ubica plantas de producción en el mercado externo; es decir realiza inversión en el mercado extranjero a través del establecimiento de unidades productivas en dichos mercados, que le lleva a controlar las ventas y la producción y obtiene información directamente del mercado que se va a ver reflejada en las características del producto.  Esta etapa puede esta caracterizada por el control que se tiene de las ventas, de la producción y de la información que se tiene sobre los factores de producción del mercado externo que se utiliza para el beneficio del producto.  Esta cuarta etapa se considera eventual, ya que muchas empresas no logran, ni tienen como objetivo llegar a establecer su producción en países externos.</w:t>
      </w:r>
    </w:p>
    <w:p w:rsidR="00950EA8" w:rsidRPr="004F319C" w:rsidRDefault="00950EA8" w:rsidP="00950EA8">
      <w:pPr>
        <w:autoSpaceDE w:val="0"/>
        <w:autoSpaceDN w:val="0"/>
        <w:adjustRightInd w:val="0"/>
      </w:pPr>
    </w:p>
    <w:p w:rsidR="00950EA8" w:rsidRPr="004F319C" w:rsidRDefault="00950EA8" w:rsidP="00653B39">
      <w:pPr>
        <w:autoSpaceDE w:val="0"/>
        <w:autoSpaceDN w:val="0"/>
        <w:adjustRightInd w:val="0"/>
      </w:pPr>
      <w:r w:rsidRPr="004F319C">
        <w:t>El modelo inicialmente propuesto por Johanson y Wiedersheim-Paul (1975) fue ampliado posteriomente por Johanson y Vahlne (1977 y 1990) y explican la dinámica de internacionalización de la empresa en función del conocimiento del mercado y del proceso exportador en articulación con el compromiso creciente de recursos.  Producto de dicho esfuerzo aparecen dos aspectos; unos dinámicos que corresponden a decisiones de compromiso de recursos y desarrollo de actividades para controlar el proceso de exportación y unos aspectos estáticos que son el conocimiento del mercado exterior y compromiso del mercado  (Villareal L, 2006).</w:t>
      </w:r>
    </w:p>
    <w:p w:rsidR="00950EA8" w:rsidRPr="004F319C" w:rsidRDefault="00950EA8" w:rsidP="00950EA8">
      <w:pPr>
        <w:autoSpaceDE w:val="0"/>
        <w:autoSpaceDN w:val="0"/>
        <w:adjustRightInd w:val="0"/>
      </w:pPr>
    </w:p>
    <w:p w:rsidR="00950EA8" w:rsidRPr="004F319C" w:rsidRDefault="00950EA8" w:rsidP="00653B39">
      <w:pPr>
        <w:autoSpaceDE w:val="0"/>
        <w:autoSpaceDN w:val="0"/>
        <w:adjustRightInd w:val="0"/>
      </w:pPr>
      <w:r w:rsidRPr="004F319C">
        <w:t xml:space="preserve">El compromiso en el mercado según Johanson y Vahlne (1990) se evidencia en la dimensión o tamaño de la inversión en el mercdo enfocado al personal, al marketing, o a la organización; y el grado de compromiso; y va asociado al grado de compromiso hacia ese mercado externo.  Por tanto entre mas especializados </w:t>
      </w:r>
      <w:r w:rsidRPr="004F319C">
        <w:lastRenderedPageBreak/>
        <w:t xml:space="preserve">sean los recursos, mayor será el grado de compromiso.  Estas variables se dan de manera independiente para cada mercado externo.  </w:t>
      </w:r>
    </w:p>
    <w:p w:rsidR="00950EA8" w:rsidRPr="004F319C" w:rsidRDefault="00950EA8" w:rsidP="00950EA8">
      <w:pPr>
        <w:autoSpaceDE w:val="0"/>
        <w:autoSpaceDN w:val="0"/>
        <w:adjustRightInd w:val="0"/>
      </w:pPr>
    </w:p>
    <w:p w:rsidR="00950EA8" w:rsidRPr="004F319C" w:rsidRDefault="00950EA8" w:rsidP="00653B39">
      <w:pPr>
        <w:autoSpaceDE w:val="0"/>
        <w:autoSpaceDN w:val="0"/>
        <w:adjustRightInd w:val="0"/>
      </w:pPr>
      <w:r w:rsidRPr="004F319C">
        <w:t>Por tanto, el establecimiento de algún tipo de actividad internacional requiere del conocimiento del mercado y de la forma de llevar a cado las exportaciones.  El conocimiento se adquiere de manera objetiva, cuando se da a través de agentes externos a la empresa es decir indirectamente; o de forma experimental a través del contacto y de las operaciones en dicho mercado.  Las empresas al inicio de sus operaciones de internacionalización carecen del conocimiento del mercado y tratan de obtenerlo de manera objetiva sin mayor compromiso de recursos.</w:t>
      </w:r>
    </w:p>
    <w:p w:rsidR="00950EA8" w:rsidRPr="004F319C" w:rsidRDefault="00950EA8" w:rsidP="00950EA8">
      <w:pPr>
        <w:autoSpaceDE w:val="0"/>
        <w:autoSpaceDN w:val="0"/>
        <w:adjustRightInd w:val="0"/>
        <w:rPr>
          <w:rFonts w:ascii="TimesNewRoman" w:hAnsi="TimesNewRoman" w:cs="TimesNewRoman"/>
        </w:rPr>
      </w:pPr>
    </w:p>
    <w:p w:rsidR="00950EA8" w:rsidRPr="004F319C" w:rsidRDefault="00950EA8" w:rsidP="00653B39">
      <w:pPr>
        <w:autoSpaceDE w:val="0"/>
        <w:autoSpaceDN w:val="0"/>
        <w:adjustRightInd w:val="0"/>
      </w:pPr>
      <w:r w:rsidRPr="004F319C">
        <w:t>Lo anterior conduce a que se tenga conocimiento general y específico sobre el mercado y sobre el proceso de exportación; al hacer exportaciones a un mercado se adquiere conocimiento sobre el proceso mismo que puede transferirse cuando se quiere exportar a otros mercados, pero se requiere de un conocimiento específico sobre el mercado paticular para aprovechar las oportunidades y dinamismo de dicho mercado, que solo se adquiere con la experiencia derivada de la presencia en dicho país (con productos).  Para Johanson y Vahlne (1990) a medida que la empresa adquiere mayor conocimiento en el mercado compromete mayores recursos de manera incremental para asegurar su participación y presencia en ese país.</w:t>
      </w:r>
    </w:p>
    <w:p w:rsidR="00950EA8" w:rsidRPr="004F319C" w:rsidRDefault="00950EA8" w:rsidP="00950EA8">
      <w:pPr>
        <w:autoSpaceDE w:val="0"/>
        <w:autoSpaceDN w:val="0"/>
        <w:adjustRightInd w:val="0"/>
      </w:pPr>
    </w:p>
    <w:p w:rsidR="00950EA8" w:rsidRPr="004F319C" w:rsidRDefault="00950EA8" w:rsidP="00653B39">
      <w:pPr>
        <w:autoSpaceDE w:val="0"/>
        <w:autoSpaceDN w:val="0"/>
        <w:adjustRightInd w:val="0"/>
      </w:pPr>
      <w:r w:rsidRPr="004F319C">
        <w:t>Por tanto la internacionalización depende del conocimiento acumulado derivado de la experiencia tanto del proceso de exportación como de presencia en el mercado; y se aplica para mercado en particular; elementos que van asociados a la incertidumbre derivados del riesgo a invertir en mercados inicialmente desconocidos.</w:t>
      </w:r>
    </w:p>
    <w:p w:rsidR="00950EA8" w:rsidRPr="004F319C" w:rsidRDefault="00950EA8" w:rsidP="00950EA8">
      <w:pPr>
        <w:autoSpaceDE w:val="0"/>
        <w:autoSpaceDN w:val="0"/>
        <w:adjustRightInd w:val="0"/>
      </w:pPr>
    </w:p>
    <w:p w:rsidR="00950EA8" w:rsidRPr="004F319C" w:rsidRDefault="00950EA8" w:rsidP="00653B39">
      <w:pPr>
        <w:autoSpaceDE w:val="0"/>
        <w:autoSpaceDN w:val="0"/>
        <w:adjustRightInd w:val="0"/>
      </w:pPr>
      <w:r w:rsidRPr="004F319C">
        <w:t>En resumen, la internacionalización de la empresa según el modelo de Uppsala es un proceso gradual de aprendizaje que se adquiere preferiblemente a través de la experiencia directamente asociado al compromiso de recursos para la implicación internacional, en respuesta al conocimiento de cada mercado en particular.</w:t>
      </w:r>
    </w:p>
    <w:p w:rsidR="00950EA8" w:rsidRPr="004F319C" w:rsidRDefault="00950EA8" w:rsidP="00950EA8">
      <w:pPr>
        <w:autoSpaceDE w:val="0"/>
        <w:autoSpaceDN w:val="0"/>
        <w:adjustRightInd w:val="0"/>
      </w:pPr>
    </w:p>
    <w:p w:rsidR="00950EA8" w:rsidRPr="004F319C" w:rsidRDefault="00950EA8" w:rsidP="00653B39">
      <w:pPr>
        <w:autoSpaceDE w:val="0"/>
        <w:autoSpaceDN w:val="0"/>
        <w:adjustRightInd w:val="0"/>
      </w:pPr>
      <w:r w:rsidRPr="004F319C">
        <w:t>Otro elemento importante que destaca el modelo Uppsalla tiene que ver con la variable que determina la selección de los mercados destino, que es la distancia psicológica.  Esto es, la manera como el país de origen percibe en términos culturales al país destino.  Johanson y Wiedersheim-Paul (1975) la definen como el conjunto de factores diferenciadores en aspectos de idioma, educación, economía, industria, instituciones y política.  De acuerdo a esto, para el país de origen son cercanos psicológicamente aquellos países que tengan alta similitud en dichos factores y lejanos psicológicamente aquellos que tengan grandes diferencias.  Los países prefieren en sus fases iniciales de internacionalización exportar a aquellos países que son psicológicamente mas cercanos, porque el flujo de información es mucho mas rápido y comprensible y por tanto se disminuye la incertidumbre en los negocios.  Las exportaciones a países psicológicamente mas distantes se hace después que se haya adquirido el conocimiento sobre el proceso y se tenga información objetiva sobre dicho mercado.</w:t>
      </w:r>
    </w:p>
    <w:p w:rsidR="00950EA8" w:rsidRPr="004F319C" w:rsidRDefault="00950EA8" w:rsidP="00950EA8">
      <w:pPr>
        <w:autoSpaceDE w:val="0"/>
        <w:autoSpaceDN w:val="0"/>
        <w:adjustRightInd w:val="0"/>
      </w:pPr>
    </w:p>
    <w:p w:rsidR="00950EA8" w:rsidRPr="004F319C" w:rsidRDefault="00950EA8" w:rsidP="00950EA8">
      <w:pPr>
        <w:autoSpaceDE w:val="0"/>
        <w:autoSpaceDN w:val="0"/>
        <w:adjustRightInd w:val="0"/>
      </w:pPr>
      <w:r w:rsidRPr="004F319C">
        <w:t>Algunas características del modelo de Uppsala.</w:t>
      </w:r>
    </w:p>
    <w:p w:rsidR="00950EA8" w:rsidRPr="004F319C" w:rsidRDefault="00950EA8" w:rsidP="00950EA8">
      <w:pPr>
        <w:autoSpaceDE w:val="0"/>
        <w:autoSpaceDN w:val="0"/>
        <w:adjustRightInd w:val="0"/>
      </w:pPr>
    </w:p>
    <w:p w:rsidR="00950EA8" w:rsidRPr="004F319C" w:rsidRDefault="00950EA8" w:rsidP="00950EA8">
      <w:pPr>
        <w:numPr>
          <w:ilvl w:val="0"/>
          <w:numId w:val="4"/>
        </w:numPr>
        <w:autoSpaceDE w:val="0"/>
        <w:autoSpaceDN w:val="0"/>
        <w:adjustRightInd w:val="0"/>
      </w:pPr>
      <w:r w:rsidRPr="004F319C">
        <w:t xml:space="preserve">El proceso de internacionalización se inicia a partir de un desconocimiento del entorno y del mercado destino, </w:t>
      </w:r>
      <w:r w:rsidRPr="004F319C">
        <w:tab/>
        <w:t>y dicho conocimiento se adquiere a partir de la experiencia.</w:t>
      </w:r>
    </w:p>
    <w:p w:rsidR="00950EA8" w:rsidRPr="004F319C" w:rsidRDefault="00950EA8" w:rsidP="00950EA8">
      <w:pPr>
        <w:autoSpaceDE w:val="0"/>
        <w:autoSpaceDN w:val="0"/>
        <w:adjustRightInd w:val="0"/>
      </w:pPr>
    </w:p>
    <w:p w:rsidR="00950EA8" w:rsidRPr="004F319C" w:rsidRDefault="00950EA8" w:rsidP="00950EA8">
      <w:pPr>
        <w:numPr>
          <w:ilvl w:val="0"/>
          <w:numId w:val="4"/>
        </w:numPr>
        <w:autoSpaceDE w:val="0"/>
        <w:autoSpaceDN w:val="0"/>
        <w:adjustRightInd w:val="0"/>
      </w:pPr>
      <w:r w:rsidRPr="004F319C">
        <w:t>El principal modo de internacionalización o de entrada al mercado externo es la exportación, inicialmente esporádica e indirecta y luego regular y de manera directa a través de agentes.</w:t>
      </w:r>
    </w:p>
    <w:p w:rsidR="00950EA8" w:rsidRPr="004F319C" w:rsidRDefault="00950EA8" w:rsidP="00950EA8">
      <w:pPr>
        <w:autoSpaceDE w:val="0"/>
        <w:autoSpaceDN w:val="0"/>
        <w:adjustRightInd w:val="0"/>
      </w:pPr>
    </w:p>
    <w:p w:rsidR="00950EA8" w:rsidRPr="004F319C" w:rsidRDefault="00950EA8" w:rsidP="00950EA8">
      <w:pPr>
        <w:numPr>
          <w:ilvl w:val="0"/>
          <w:numId w:val="4"/>
        </w:numPr>
        <w:autoSpaceDE w:val="0"/>
        <w:autoSpaceDN w:val="0"/>
        <w:adjustRightInd w:val="0"/>
      </w:pPr>
      <w:r w:rsidRPr="004F319C">
        <w:t>No se establecen los tiempos que dura cada etapa.  Se asume que depende del objetivo de la empresa, del tiempo en que adquiera el conocimiento y del alcance de los recursos disponibles para la expansión internacional.</w:t>
      </w:r>
    </w:p>
    <w:p w:rsidR="00950EA8" w:rsidRPr="004F319C" w:rsidRDefault="00950EA8" w:rsidP="00950EA8">
      <w:pPr>
        <w:autoSpaceDE w:val="0"/>
        <w:autoSpaceDN w:val="0"/>
        <w:adjustRightInd w:val="0"/>
      </w:pPr>
    </w:p>
    <w:p w:rsidR="00950EA8" w:rsidRPr="004F319C" w:rsidRDefault="00950EA8" w:rsidP="00950EA8">
      <w:pPr>
        <w:numPr>
          <w:ilvl w:val="0"/>
          <w:numId w:val="4"/>
        </w:numPr>
        <w:autoSpaceDE w:val="0"/>
        <w:autoSpaceDN w:val="0"/>
        <w:adjustRightInd w:val="0"/>
      </w:pPr>
      <w:r w:rsidRPr="004F319C">
        <w:t>El proceso exportador depende completamente de la empresa, de su capacidad de aprendizaje y del compromiso de recursos que disponga para el proceso exportador.</w:t>
      </w:r>
    </w:p>
    <w:p w:rsidR="00950EA8" w:rsidRPr="004F319C" w:rsidRDefault="00950EA8" w:rsidP="00950EA8">
      <w:pPr>
        <w:autoSpaceDE w:val="0"/>
        <w:autoSpaceDN w:val="0"/>
        <w:adjustRightInd w:val="0"/>
      </w:pPr>
    </w:p>
    <w:p w:rsidR="00950EA8" w:rsidRPr="004F319C" w:rsidRDefault="00950EA8" w:rsidP="00950EA8">
      <w:pPr>
        <w:numPr>
          <w:ilvl w:val="0"/>
          <w:numId w:val="4"/>
        </w:numPr>
        <w:autoSpaceDE w:val="0"/>
        <w:autoSpaceDN w:val="0"/>
        <w:adjustRightInd w:val="0"/>
      </w:pPr>
      <w:r w:rsidRPr="004F319C">
        <w:t>La principal actividad dentro de la internacionalización empresarial es la comercialización internacional en forma de exportación.</w:t>
      </w:r>
    </w:p>
    <w:p w:rsidR="00950EA8" w:rsidRPr="004F319C" w:rsidRDefault="00950EA8" w:rsidP="00950EA8">
      <w:pPr>
        <w:autoSpaceDE w:val="0"/>
        <w:autoSpaceDN w:val="0"/>
        <w:adjustRightInd w:val="0"/>
      </w:pPr>
    </w:p>
    <w:p w:rsidR="00950EA8" w:rsidRPr="004F319C" w:rsidRDefault="00950EA8" w:rsidP="00950EA8">
      <w:pPr>
        <w:numPr>
          <w:ilvl w:val="0"/>
          <w:numId w:val="4"/>
        </w:numPr>
        <w:autoSpaceDE w:val="0"/>
        <w:autoSpaceDN w:val="0"/>
        <w:adjustRightInd w:val="0"/>
      </w:pPr>
      <w:r w:rsidRPr="004F319C">
        <w:t>El modelo aplica preferiblemente a PYMES y a empresas ubicadas en países en desarrollo; ya que las multinacionales disponen de los recursos para disminuir el riesgo y adquirir el aprendizaje de manera eficaz e inmediata.</w:t>
      </w:r>
    </w:p>
    <w:p w:rsidR="00950EA8" w:rsidRDefault="00950EA8" w:rsidP="00950EA8">
      <w:pPr>
        <w:autoSpaceDE w:val="0"/>
        <w:autoSpaceDN w:val="0"/>
        <w:adjustRightInd w:val="0"/>
        <w:rPr>
          <w:color w:val="000080"/>
        </w:rPr>
      </w:pPr>
    </w:p>
    <w:p w:rsidR="00AB7177" w:rsidRDefault="00950EA8" w:rsidP="00AB7177">
      <w:pPr>
        <w:shd w:val="clear" w:color="auto" w:fill="FFFFFF"/>
        <w:spacing w:before="100" w:beforeAutospacing="1" w:after="100" w:afterAutospacing="1"/>
      </w:pPr>
      <w:r w:rsidRPr="00034AEC">
        <w:rPr>
          <w:rFonts w:ascii="Tahoma" w:eastAsia="Times New Roman" w:hAnsi="Tahoma" w:cs="Tahoma"/>
          <w:b/>
          <w:bCs/>
          <w:color w:val="212121"/>
          <w:lang w:val="es-US" w:eastAsia="es-CO"/>
        </w:rPr>
        <w:t>Tablas. </w:t>
      </w:r>
      <w:r w:rsidR="00AB7177">
        <w:t xml:space="preserve"> </w:t>
      </w:r>
    </w:p>
    <w:p w:rsidR="00950EA8" w:rsidRDefault="00950EA8" w:rsidP="00AB7177">
      <w:pPr>
        <w:shd w:val="clear" w:color="auto" w:fill="FFFFFF"/>
        <w:spacing w:before="100" w:beforeAutospacing="1" w:after="100" w:afterAutospacing="1"/>
      </w:pPr>
      <w:r>
        <w:t xml:space="preserve">Para analizar el posicionamiento comercial de cada sector manufacturero, se plantea la siguiente matriz, que se aplica a cada sector. </w:t>
      </w:r>
    </w:p>
    <w:p w:rsidR="00950EA8" w:rsidRDefault="00950EA8" w:rsidP="00653B39">
      <w:pPr>
        <w:pStyle w:val="Prrafodelista"/>
      </w:pPr>
    </w:p>
    <w:p w:rsidR="00950EA8" w:rsidRDefault="00950EA8" w:rsidP="00653B39">
      <w:r>
        <w:t>Inicialmente se muestra el desempeño del sector por cada parámetro, posteriormente se aplica la matriz para cada sector de la oferta exportable de Santander.  Al final de la sección se muestra un cuadro síntesis de las del posicionamiento comercial de cada capítulo en cifras y una matriz valorativa.</w:t>
      </w:r>
    </w:p>
    <w:p w:rsidR="00950EA8" w:rsidRDefault="00950EA8" w:rsidP="00950EA8">
      <w:pPr>
        <w:pStyle w:val="Prrafodelista"/>
      </w:pPr>
    </w:p>
    <w:p w:rsidR="00950EA8" w:rsidRDefault="00653B39" w:rsidP="00653B39">
      <w:r w:rsidRPr="00AB7177">
        <w:rPr>
          <w:b/>
        </w:rPr>
        <w:t>Tabla 1</w:t>
      </w:r>
      <w:r w:rsidR="00950EA8" w:rsidRPr="00AB7177">
        <w:rPr>
          <w:b/>
        </w:rPr>
        <w:t>.</w:t>
      </w:r>
      <w:r w:rsidR="00950EA8">
        <w:t xml:space="preserve">  Indicadores e interpretación de variables de la matriz de posicionamiento comercial de un sector exportador.</w:t>
      </w:r>
    </w:p>
    <w:tbl>
      <w:tblPr>
        <w:tblStyle w:val="Tablaconcuadrcula"/>
        <w:tblW w:w="0" w:type="auto"/>
        <w:tblLook w:val="04A0" w:firstRow="1" w:lastRow="0" w:firstColumn="1" w:lastColumn="0" w:noHBand="0" w:noVBand="1"/>
      </w:tblPr>
      <w:tblGrid>
        <w:gridCol w:w="2660"/>
        <w:gridCol w:w="6318"/>
      </w:tblGrid>
      <w:tr w:rsidR="00950EA8" w:rsidRPr="0026036A" w:rsidTr="00950EA8">
        <w:tc>
          <w:tcPr>
            <w:tcW w:w="2660" w:type="dxa"/>
          </w:tcPr>
          <w:p w:rsidR="00950EA8" w:rsidRPr="0026036A" w:rsidRDefault="00950EA8" w:rsidP="00950EA8">
            <w:pPr>
              <w:rPr>
                <w:sz w:val="18"/>
                <w:szCs w:val="18"/>
              </w:rPr>
            </w:pPr>
            <w:r w:rsidRPr="0026036A">
              <w:rPr>
                <w:sz w:val="18"/>
                <w:szCs w:val="18"/>
              </w:rPr>
              <w:t xml:space="preserve">Desempeño de las exportaciones de Santander en el capítulo </w:t>
            </w:r>
          </w:p>
          <w:p w:rsidR="00950EA8" w:rsidRPr="0026036A" w:rsidRDefault="00950EA8" w:rsidP="00950EA8">
            <w:pPr>
              <w:rPr>
                <w:sz w:val="18"/>
                <w:szCs w:val="18"/>
              </w:rPr>
            </w:pPr>
          </w:p>
        </w:tc>
        <w:tc>
          <w:tcPr>
            <w:tcW w:w="6318" w:type="dxa"/>
          </w:tcPr>
          <w:p w:rsidR="00950EA8" w:rsidRDefault="00950EA8" w:rsidP="00950EA8">
            <w:pPr>
              <w:rPr>
                <w:sz w:val="18"/>
                <w:szCs w:val="18"/>
              </w:rPr>
            </w:pPr>
            <w:r>
              <w:rPr>
                <w:sz w:val="18"/>
                <w:szCs w:val="18"/>
              </w:rPr>
              <w:t>Se toma el valor de las exportaciones en miles de dólares FOB.</w:t>
            </w:r>
          </w:p>
          <w:p w:rsidR="00950EA8" w:rsidRDefault="00950EA8" w:rsidP="00950EA8">
            <w:pPr>
              <w:rPr>
                <w:sz w:val="18"/>
                <w:szCs w:val="18"/>
              </w:rPr>
            </w:pPr>
            <w:r>
              <w:rPr>
                <w:sz w:val="18"/>
                <w:szCs w:val="18"/>
              </w:rPr>
              <w:t>Se determina la participación del capítulo en el total de las exportaciones del Departamento (en %).</w:t>
            </w:r>
          </w:p>
          <w:p w:rsidR="00950EA8" w:rsidRPr="0026036A" w:rsidRDefault="00950EA8" w:rsidP="00950EA8">
            <w:pPr>
              <w:rPr>
                <w:sz w:val="18"/>
                <w:szCs w:val="18"/>
              </w:rPr>
            </w:pPr>
            <w:r>
              <w:rPr>
                <w:sz w:val="18"/>
                <w:szCs w:val="18"/>
              </w:rPr>
              <w:t>Se analiza la variación entre 2006 – 2011</w:t>
            </w:r>
          </w:p>
        </w:tc>
      </w:tr>
      <w:tr w:rsidR="00950EA8" w:rsidRPr="0026036A" w:rsidTr="00950EA8">
        <w:tc>
          <w:tcPr>
            <w:tcW w:w="2660" w:type="dxa"/>
          </w:tcPr>
          <w:p w:rsidR="00950EA8" w:rsidRPr="0026036A" w:rsidRDefault="00950EA8" w:rsidP="00950EA8">
            <w:pPr>
              <w:rPr>
                <w:sz w:val="18"/>
                <w:szCs w:val="18"/>
              </w:rPr>
            </w:pPr>
            <w:r w:rsidRPr="0026036A">
              <w:rPr>
                <w:sz w:val="18"/>
                <w:szCs w:val="18"/>
              </w:rPr>
              <w:t xml:space="preserve">Desempeño de las importaciones de Santander en el capítulo </w:t>
            </w:r>
          </w:p>
        </w:tc>
        <w:tc>
          <w:tcPr>
            <w:tcW w:w="6318" w:type="dxa"/>
          </w:tcPr>
          <w:p w:rsidR="00950EA8" w:rsidRDefault="00950EA8" w:rsidP="00950EA8">
            <w:pPr>
              <w:rPr>
                <w:sz w:val="18"/>
                <w:szCs w:val="18"/>
              </w:rPr>
            </w:pPr>
            <w:r>
              <w:rPr>
                <w:sz w:val="18"/>
                <w:szCs w:val="18"/>
              </w:rPr>
              <w:t>Se toma el valor de las importaciones en miles de dólares CIF.</w:t>
            </w:r>
          </w:p>
          <w:p w:rsidR="00950EA8" w:rsidRDefault="00950EA8" w:rsidP="00950EA8">
            <w:pPr>
              <w:rPr>
                <w:sz w:val="18"/>
                <w:szCs w:val="18"/>
              </w:rPr>
            </w:pPr>
            <w:r>
              <w:rPr>
                <w:sz w:val="18"/>
                <w:szCs w:val="18"/>
              </w:rPr>
              <w:t>Se determina la participación del capítulo en el total de las importaciones del Departamento (en %).</w:t>
            </w:r>
          </w:p>
          <w:p w:rsidR="00950EA8" w:rsidRPr="0026036A" w:rsidRDefault="00950EA8" w:rsidP="00950EA8">
            <w:pPr>
              <w:rPr>
                <w:sz w:val="18"/>
                <w:szCs w:val="18"/>
              </w:rPr>
            </w:pPr>
            <w:r>
              <w:rPr>
                <w:sz w:val="18"/>
                <w:szCs w:val="18"/>
              </w:rPr>
              <w:t>Se analiza la variación entre 2006 – 2011</w:t>
            </w:r>
          </w:p>
        </w:tc>
      </w:tr>
      <w:tr w:rsidR="00950EA8" w:rsidRPr="0026036A" w:rsidTr="00950EA8">
        <w:tc>
          <w:tcPr>
            <w:tcW w:w="2660" w:type="dxa"/>
          </w:tcPr>
          <w:p w:rsidR="00950EA8" w:rsidRPr="0026036A" w:rsidRDefault="00950EA8" w:rsidP="00950EA8">
            <w:pPr>
              <w:rPr>
                <w:sz w:val="18"/>
                <w:szCs w:val="18"/>
              </w:rPr>
            </w:pPr>
            <w:r w:rsidRPr="0026036A">
              <w:rPr>
                <w:sz w:val="18"/>
                <w:szCs w:val="18"/>
              </w:rPr>
              <w:lastRenderedPageBreak/>
              <w:t xml:space="preserve">Balanza comercial </w:t>
            </w:r>
          </w:p>
          <w:p w:rsidR="00950EA8" w:rsidRPr="0026036A" w:rsidRDefault="00950EA8" w:rsidP="00950EA8">
            <w:pPr>
              <w:rPr>
                <w:sz w:val="18"/>
                <w:szCs w:val="18"/>
              </w:rPr>
            </w:pPr>
          </w:p>
        </w:tc>
        <w:tc>
          <w:tcPr>
            <w:tcW w:w="6318" w:type="dxa"/>
          </w:tcPr>
          <w:p w:rsidR="00950EA8" w:rsidRDefault="00950EA8" w:rsidP="00950EA8">
            <w:pPr>
              <w:rPr>
                <w:sz w:val="18"/>
                <w:szCs w:val="18"/>
              </w:rPr>
            </w:pPr>
            <w:r>
              <w:rPr>
                <w:sz w:val="18"/>
                <w:szCs w:val="18"/>
              </w:rPr>
              <w:t>Cálculo de exportaciones en menos exportaciones.</w:t>
            </w:r>
          </w:p>
          <w:p w:rsidR="00950EA8" w:rsidRDefault="00950EA8" w:rsidP="00950EA8">
            <w:pPr>
              <w:rPr>
                <w:sz w:val="18"/>
                <w:szCs w:val="18"/>
              </w:rPr>
            </w:pPr>
            <w:r>
              <w:rPr>
                <w:sz w:val="18"/>
                <w:szCs w:val="18"/>
              </w:rPr>
              <w:t>Cuando el valor es positivo expresa un superávit, balanza comercial favorable para el departamento, debido a mayores exportaciones que importaciones y viceversa.</w:t>
            </w:r>
          </w:p>
          <w:p w:rsidR="00950EA8" w:rsidRPr="0026036A" w:rsidRDefault="00950EA8" w:rsidP="00950EA8">
            <w:pPr>
              <w:rPr>
                <w:sz w:val="18"/>
                <w:szCs w:val="18"/>
              </w:rPr>
            </w:pPr>
            <w:r>
              <w:rPr>
                <w:sz w:val="18"/>
                <w:szCs w:val="18"/>
              </w:rPr>
              <w:t>Se analiza el comportamiento de la balanza comercial entre 2006 – 2011</w:t>
            </w:r>
          </w:p>
        </w:tc>
      </w:tr>
      <w:tr w:rsidR="00950EA8" w:rsidRPr="0026036A" w:rsidTr="00950EA8">
        <w:tc>
          <w:tcPr>
            <w:tcW w:w="2660" w:type="dxa"/>
          </w:tcPr>
          <w:p w:rsidR="00950EA8" w:rsidRPr="0026036A" w:rsidRDefault="00950EA8" w:rsidP="00950EA8">
            <w:pPr>
              <w:rPr>
                <w:sz w:val="18"/>
                <w:szCs w:val="18"/>
              </w:rPr>
            </w:pPr>
            <w:r w:rsidRPr="0026036A">
              <w:rPr>
                <w:sz w:val="18"/>
                <w:szCs w:val="18"/>
              </w:rPr>
              <w:t>Relación EXPORT./IMPORT.</w:t>
            </w:r>
          </w:p>
          <w:p w:rsidR="00950EA8" w:rsidRPr="0026036A" w:rsidRDefault="00950EA8" w:rsidP="00950EA8">
            <w:pPr>
              <w:rPr>
                <w:sz w:val="18"/>
                <w:szCs w:val="18"/>
              </w:rPr>
            </w:pPr>
          </w:p>
        </w:tc>
        <w:tc>
          <w:tcPr>
            <w:tcW w:w="6318" w:type="dxa"/>
          </w:tcPr>
          <w:p w:rsidR="00950EA8" w:rsidRDefault="00950EA8" w:rsidP="00950EA8">
            <w:pPr>
              <w:rPr>
                <w:sz w:val="18"/>
                <w:szCs w:val="18"/>
              </w:rPr>
            </w:pPr>
            <w:r>
              <w:rPr>
                <w:sz w:val="18"/>
                <w:szCs w:val="18"/>
              </w:rPr>
              <w:t>Se establece el valor del cociente entre exportaciones sobre importaciones.</w:t>
            </w:r>
          </w:p>
          <w:p w:rsidR="00950EA8" w:rsidRDefault="00950EA8" w:rsidP="00950EA8">
            <w:pPr>
              <w:rPr>
                <w:sz w:val="18"/>
                <w:szCs w:val="18"/>
              </w:rPr>
            </w:pPr>
            <w:r>
              <w:rPr>
                <w:sz w:val="18"/>
                <w:szCs w:val="18"/>
              </w:rPr>
              <w:t>Cuando el valor está por encima de 1, es cuando las exportaciones del capítulo en el departamento son mayores que las importaciones; y expresa cuantas veces son mayores las exportaciones en relación a las importaciones.</w:t>
            </w:r>
          </w:p>
          <w:p w:rsidR="00950EA8" w:rsidRDefault="00950EA8" w:rsidP="00950EA8">
            <w:pPr>
              <w:rPr>
                <w:sz w:val="18"/>
                <w:szCs w:val="18"/>
              </w:rPr>
            </w:pPr>
            <w:r>
              <w:rPr>
                <w:sz w:val="18"/>
                <w:szCs w:val="18"/>
              </w:rPr>
              <w:t>Cuando el valor está por debajo de 1, indica que las importaciones son mayores a las exportaciones y expresa cuantas veces, (en decimales) son menores las exportaciones a las importaciones.</w:t>
            </w:r>
          </w:p>
          <w:p w:rsidR="00950EA8" w:rsidRPr="0026036A" w:rsidRDefault="00950EA8" w:rsidP="00950EA8">
            <w:pPr>
              <w:rPr>
                <w:sz w:val="18"/>
                <w:szCs w:val="18"/>
              </w:rPr>
            </w:pPr>
            <w:r>
              <w:rPr>
                <w:sz w:val="18"/>
                <w:szCs w:val="18"/>
              </w:rPr>
              <w:t>El valor siempre es mayor o igual a cero.</w:t>
            </w:r>
          </w:p>
        </w:tc>
      </w:tr>
      <w:tr w:rsidR="00950EA8" w:rsidRPr="0026036A" w:rsidTr="00950EA8">
        <w:tc>
          <w:tcPr>
            <w:tcW w:w="2660" w:type="dxa"/>
          </w:tcPr>
          <w:p w:rsidR="00950EA8" w:rsidRPr="0026036A" w:rsidRDefault="00950EA8" w:rsidP="00950EA8">
            <w:pPr>
              <w:rPr>
                <w:sz w:val="18"/>
                <w:szCs w:val="18"/>
              </w:rPr>
            </w:pPr>
            <w:r w:rsidRPr="0026036A">
              <w:rPr>
                <w:sz w:val="18"/>
                <w:szCs w:val="18"/>
              </w:rPr>
              <w:t>Posición frente a las exportaciones de Santander</w:t>
            </w:r>
          </w:p>
        </w:tc>
        <w:tc>
          <w:tcPr>
            <w:tcW w:w="6318" w:type="dxa"/>
          </w:tcPr>
          <w:p w:rsidR="00950EA8" w:rsidRDefault="00950EA8" w:rsidP="00950EA8">
            <w:pPr>
              <w:rPr>
                <w:sz w:val="18"/>
                <w:szCs w:val="18"/>
              </w:rPr>
            </w:pPr>
            <w:r>
              <w:rPr>
                <w:sz w:val="18"/>
                <w:szCs w:val="18"/>
              </w:rPr>
              <w:t>Se determina el porcentaje de participación de las exportaciones del capítulo en las exportaciones departamentales.</w:t>
            </w:r>
          </w:p>
          <w:p w:rsidR="00950EA8" w:rsidRPr="0026036A" w:rsidRDefault="00950EA8" w:rsidP="00950EA8">
            <w:pPr>
              <w:rPr>
                <w:sz w:val="18"/>
                <w:szCs w:val="18"/>
              </w:rPr>
            </w:pPr>
            <w:r>
              <w:rPr>
                <w:sz w:val="18"/>
                <w:szCs w:val="18"/>
              </w:rPr>
              <w:t>Se expresa en porcentaje y el valor esta entre 0 y 100%.</w:t>
            </w:r>
          </w:p>
        </w:tc>
      </w:tr>
      <w:tr w:rsidR="00950EA8" w:rsidRPr="0026036A" w:rsidTr="00950EA8">
        <w:tc>
          <w:tcPr>
            <w:tcW w:w="2660" w:type="dxa"/>
          </w:tcPr>
          <w:p w:rsidR="00950EA8" w:rsidRPr="0026036A" w:rsidRDefault="00950EA8" w:rsidP="00950EA8">
            <w:pPr>
              <w:rPr>
                <w:sz w:val="18"/>
                <w:szCs w:val="18"/>
              </w:rPr>
            </w:pPr>
            <w:r w:rsidRPr="0026036A">
              <w:rPr>
                <w:sz w:val="18"/>
                <w:szCs w:val="18"/>
              </w:rPr>
              <w:t>Posición frente a las exportaciones nacionales del capítulo</w:t>
            </w:r>
          </w:p>
        </w:tc>
        <w:tc>
          <w:tcPr>
            <w:tcW w:w="6318" w:type="dxa"/>
          </w:tcPr>
          <w:p w:rsidR="00950EA8" w:rsidRPr="0026036A" w:rsidRDefault="00950EA8" w:rsidP="00950EA8">
            <w:pPr>
              <w:rPr>
                <w:sz w:val="18"/>
                <w:szCs w:val="18"/>
              </w:rPr>
            </w:pPr>
            <w:r>
              <w:rPr>
                <w:sz w:val="18"/>
                <w:szCs w:val="18"/>
              </w:rPr>
              <w:t>Se determina el porcentaje de participación de las exportaciones del capítulo de Santander en las exportaciones nacionales (Colombia) del capítulo.</w:t>
            </w:r>
          </w:p>
        </w:tc>
      </w:tr>
      <w:tr w:rsidR="00950EA8" w:rsidRPr="0026036A" w:rsidTr="00950EA8">
        <w:tc>
          <w:tcPr>
            <w:tcW w:w="2660" w:type="dxa"/>
          </w:tcPr>
          <w:p w:rsidR="00950EA8" w:rsidRPr="0026036A" w:rsidRDefault="00950EA8" w:rsidP="00950EA8">
            <w:pPr>
              <w:rPr>
                <w:sz w:val="18"/>
                <w:szCs w:val="18"/>
              </w:rPr>
            </w:pPr>
            <w:r w:rsidRPr="0026036A">
              <w:rPr>
                <w:sz w:val="18"/>
                <w:szCs w:val="18"/>
              </w:rPr>
              <w:t>Posición frente a otras regiones de Colombia</w:t>
            </w:r>
          </w:p>
        </w:tc>
        <w:tc>
          <w:tcPr>
            <w:tcW w:w="6318" w:type="dxa"/>
          </w:tcPr>
          <w:p w:rsidR="00950EA8" w:rsidRPr="0026036A" w:rsidRDefault="00950EA8" w:rsidP="00950EA8">
            <w:pPr>
              <w:rPr>
                <w:sz w:val="18"/>
                <w:szCs w:val="18"/>
              </w:rPr>
            </w:pPr>
            <w:r>
              <w:rPr>
                <w:sz w:val="18"/>
                <w:szCs w:val="18"/>
              </w:rPr>
              <w:t>Se toman los principales departamentos de Colombia  exportadores del capítulo y se determina la participación y el desempeño entre 2006 – 2011.</w:t>
            </w:r>
          </w:p>
        </w:tc>
      </w:tr>
      <w:tr w:rsidR="00950EA8" w:rsidRPr="0026036A" w:rsidTr="00950EA8">
        <w:tc>
          <w:tcPr>
            <w:tcW w:w="2660" w:type="dxa"/>
          </w:tcPr>
          <w:p w:rsidR="00950EA8" w:rsidRPr="0026036A" w:rsidRDefault="00950EA8" w:rsidP="00950EA8">
            <w:pPr>
              <w:rPr>
                <w:sz w:val="18"/>
                <w:szCs w:val="18"/>
              </w:rPr>
            </w:pPr>
            <w:r w:rsidRPr="0026036A">
              <w:rPr>
                <w:sz w:val="18"/>
                <w:szCs w:val="18"/>
              </w:rPr>
              <w:t>Número de empresas exportadoras y promedio exportador por empresa</w:t>
            </w:r>
          </w:p>
        </w:tc>
        <w:tc>
          <w:tcPr>
            <w:tcW w:w="6318" w:type="dxa"/>
          </w:tcPr>
          <w:p w:rsidR="00950EA8" w:rsidRPr="0026036A" w:rsidRDefault="00950EA8" w:rsidP="00950EA8">
            <w:pPr>
              <w:rPr>
                <w:sz w:val="18"/>
                <w:szCs w:val="18"/>
              </w:rPr>
            </w:pPr>
            <w:r>
              <w:rPr>
                <w:sz w:val="18"/>
                <w:szCs w:val="18"/>
              </w:rPr>
              <w:t>Se toma el número de empresas exportadoras por cada capítulo y se promedia el valor exportado por empresa, mediante una división del total exportado en el capítulo entre el número de empresas.</w:t>
            </w:r>
          </w:p>
        </w:tc>
      </w:tr>
      <w:tr w:rsidR="00950EA8" w:rsidRPr="0026036A" w:rsidTr="00950EA8">
        <w:tc>
          <w:tcPr>
            <w:tcW w:w="2660" w:type="dxa"/>
          </w:tcPr>
          <w:p w:rsidR="00950EA8" w:rsidRPr="0026036A" w:rsidRDefault="00950EA8" w:rsidP="00950EA8">
            <w:pPr>
              <w:rPr>
                <w:sz w:val="18"/>
                <w:szCs w:val="18"/>
              </w:rPr>
            </w:pPr>
            <w:r w:rsidRPr="0026036A">
              <w:rPr>
                <w:sz w:val="18"/>
                <w:szCs w:val="18"/>
              </w:rPr>
              <w:t>Desempeño en los principales mercados destino.</w:t>
            </w:r>
          </w:p>
        </w:tc>
        <w:tc>
          <w:tcPr>
            <w:tcW w:w="6318" w:type="dxa"/>
          </w:tcPr>
          <w:p w:rsidR="00950EA8" w:rsidRPr="0026036A" w:rsidRDefault="00950EA8" w:rsidP="00950EA8">
            <w:pPr>
              <w:rPr>
                <w:sz w:val="18"/>
                <w:szCs w:val="18"/>
              </w:rPr>
            </w:pPr>
            <w:r>
              <w:rPr>
                <w:sz w:val="18"/>
                <w:szCs w:val="18"/>
              </w:rPr>
              <w:t>Se toman los datos de las exportaciones a los principales mercados destino y se analiza el desempeño y  participación.</w:t>
            </w:r>
          </w:p>
        </w:tc>
      </w:tr>
      <w:tr w:rsidR="00950EA8" w:rsidRPr="0026036A" w:rsidTr="00950EA8">
        <w:tc>
          <w:tcPr>
            <w:tcW w:w="2660" w:type="dxa"/>
          </w:tcPr>
          <w:p w:rsidR="00950EA8" w:rsidRPr="0026036A" w:rsidRDefault="00950EA8" w:rsidP="00950EA8">
            <w:pPr>
              <w:rPr>
                <w:sz w:val="18"/>
                <w:szCs w:val="18"/>
              </w:rPr>
            </w:pPr>
            <w:r w:rsidRPr="0026036A">
              <w:rPr>
                <w:sz w:val="18"/>
                <w:szCs w:val="18"/>
              </w:rPr>
              <w:t>Diversificación de mercados</w:t>
            </w:r>
          </w:p>
        </w:tc>
        <w:tc>
          <w:tcPr>
            <w:tcW w:w="6318" w:type="dxa"/>
          </w:tcPr>
          <w:p w:rsidR="00950EA8" w:rsidRPr="0026036A" w:rsidRDefault="00950EA8" w:rsidP="00950EA8">
            <w:pPr>
              <w:rPr>
                <w:sz w:val="18"/>
                <w:szCs w:val="18"/>
              </w:rPr>
            </w:pPr>
            <w:r>
              <w:rPr>
                <w:sz w:val="18"/>
                <w:szCs w:val="18"/>
              </w:rPr>
              <w:t>Se determina el número de mercados destino y la concentración (valor exportado) a cada uno de ellos.</w:t>
            </w:r>
          </w:p>
        </w:tc>
      </w:tr>
      <w:tr w:rsidR="00950EA8" w:rsidRPr="0026036A" w:rsidTr="00950EA8">
        <w:tc>
          <w:tcPr>
            <w:tcW w:w="2660" w:type="dxa"/>
          </w:tcPr>
          <w:p w:rsidR="00950EA8" w:rsidRPr="0026036A" w:rsidRDefault="00950EA8" w:rsidP="00950EA8">
            <w:pPr>
              <w:rPr>
                <w:sz w:val="18"/>
                <w:szCs w:val="18"/>
              </w:rPr>
            </w:pPr>
            <w:r w:rsidRPr="0026036A">
              <w:rPr>
                <w:sz w:val="18"/>
                <w:szCs w:val="18"/>
              </w:rPr>
              <w:t>Características de los mercados destino</w:t>
            </w:r>
          </w:p>
        </w:tc>
        <w:tc>
          <w:tcPr>
            <w:tcW w:w="6318" w:type="dxa"/>
          </w:tcPr>
          <w:p w:rsidR="00950EA8" w:rsidRPr="0026036A" w:rsidRDefault="00950EA8" w:rsidP="00950EA8">
            <w:pPr>
              <w:rPr>
                <w:sz w:val="18"/>
                <w:szCs w:val="18"/>
              </w:rPr>
            </w:pPr>
            <w:r>
              <w:rPr>
                <w:sz w:val="18"/>
                <w:szCs w:val="18"/>
              </w:rPr>
              <w:t>En términos de distancia psicológica, ya sea mercados cercanos o naturales, o mercados lejanos y especializados.</w:t>
            </w:r>
          </w:p>
        </w:tc>
      </w:tr>
      <w:tr w:rsidR="00950EA8" w:rsidRPr="0026036A" w:rsidTr="00950EA8">
        <w:tc>
          <w:tcPr>
            <w:tcW w:w="2660" w:type="dxa"/>
          </w:tcPr>
          <w:p w:rsidR="00950EA8" w:rsidRPr="0026036A" w:rsidRDefault="00950EA8" w:rsidP="00950EA8">
            <w:pPr>
              <w:rPr>
                <w:sz w:val="18"/>
                <w:szCs w:val="18"/>
              </w:rPr>
            </w:pPr>
            <w:r w:rsidRPr="0026036A">
              <w:rPr>
                <w:sz w:val="18"/>
                <w:szCs w:val="18"/>
              </w:rPr>
              <w:t>Diversificación de productos (partidas arancelarias)</w:t>
            </w:r>
          </w:p>
        </w:tc>
        <w:tc>
          <w:tcPr>
            <w:tcW w:w="6318" w:type="dxa"/>
          </w:tcPr>
          <w:p w:rsidR="00950EA8" w:rsidRPr="0026036A" w:rsidRDefault="00950EA8" w:rsidP="00950EA8">
            <w:pPr>
              <w:rPr>
                <w:sz w:val="18"/>
                <w:szCs w:val="18"/>
              </w:rPr>
            </w:pPr>
            <w:r>
              <w:rPr>
                <w:sz w:val="18"/>
                <w:szCs w:val="18"/>
              </w:rPr>
              <w:t>Participación de las partidas arancelarias a 4 dígitos que conforman el capítulo, en las exportaciones.</w:t>
            </w:r>
          </w:p>
        </w:tc>
      </w:tr>
    </w:tbl>
    <w:p w:rsidR="00950EA8" w:rsidRDefault="0096159F" w:rsidP="0096159F">
      <w:pPr>
        <w:pStyle w:val="Prrafodelista"/>
        <w:ind w:left="0"/>
      </w:pPr>
      <w:r>
        <w:t>Elaboración propia</w:t>
      </w:r>
    </w:p>
    <w:p w:rsidR="0096159F" w:rsidRDefault="0096159F" w:rsidP="0096159F">
      <w:pPr>
        <w:pStyle w:val="Prrafodelista"/>
        <w:ind w:left="0"/>
      </w:pPr>
    </w:p>
    <w:p w:rsidR="00950EA8" w:rsidRDefault="00653B39" w:rsidP="00653B39">
      <w:r w:rsidRPr="00AB7177">
        <w:rPr>
          <w:b/>
        </w:rPr>
        <w:t>Tabla 2</w:t>
      </w:r>
      <w:r>
        <w:t xml:space="preserve">. Ejemplos. </w:t>
      </w:r>
      <w:r w:rsidR="00950EA8">
        <w:t>Síntesis datos del posicionamiento comercial Capítulo 62 de Santander 2006 - 2011</w:t>
      </w:r>
    </w:p>
    <w:tbl>
      <w:tblPr>
        <w:tblW w:w="5000" w:type="pct"/>
        <w:tblLayout w:type="fixed"/>
        <w:tblCellMar>
          <w:left w:w="70" w:type="dxa"/>
          <w:right w:w="70" w:type="dxa"/>
        </w:tblCellMar>
        <w:tblLook w:val="04A0" w:firstRow="1" w:lastRow="0" w:firstColumn="1" w:lastColumn="0" w:noHBand="0" w:noVBand="1"/>
      </w:tblPr>
      <w:tblGrid>
        <w:gridCol w:w="1768"/>
        <w:gridCol w:w="994"/>
        <w:gridCol w:w="889"/>
        <w:gridCol w:w="889"/>
        <w:gridCol w:w="889"/>
        <w:gridCol w:w="889"/>
        <w:gridCol w:w="889"/>
        <w:gridCol w:w="889"/>
        <w:gridCol w:w="882"/>
      </w:tblGrid>
      <w:tr w:rsidR="00950EA8" w:rsidRPr="005C3AA7" w:rsidTr="00950EA8">
        <w:trPr>
          <w:trHeight w:val="510"/>
        </w:trPr>
        <w:tc>
          <w:tcPr>
            <w:tcW w:w="1538" w:type="pct"/>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950EA8" w:rsidRDefault="00950EA8" w:rsidP="00950EA8">
            <w:pPr>
              <w:rPr>
                <w:rFonts w:eastAsia="Times New Roman"/>
                <w:b/>
                <w:bCs/>
                <w:sz w:val="16"/>
                <w:szCs w:val="16"/>
                <w:lang w:eastAsia="es-CO"/>
              </w:rPr>
            </w:pPr>
          </w:p>
          <w:p w:rsidR="00950EA8" w:rsidRPr="005C3AA7" w:rsidRDefault="00950EA8" w:rsidP="00950EA8">
            <w:pPr>
              <w:rPr>
                <w:rFonts w:eastAsia="Times New Roman"/>
                <w:b/>
                <w:bCs/>
                <w:sz w:val="16"/>
                <w:szCs w:val="16"/>
                <w:lang w:eastAsia="es-CO"/>
              </w:rPr>
            </w:pPr>
          </w:p>
        </w:tc>
        <w:tc>
          <w:tcPr>
            <w:tcW w:w="495" w:type="pct"/>
            <w:tcBorders>
              <w:top w:val="single" w:sz="4" w:space="0" w:color="auto"/>
              <w:left w:val="nil"/>
              <w:bottom w:val="single" w:sz="4" w:space="0" w:color="auto"/>
              <w:right w:val="single" w:sz="4" w:space="0" w:color="auto"/>
            </w:tcBorders>
            <w:shd w:val="clear" w:color="000000" w:fill="FFFFFF"/>
            <w:vAlign w:val="center"/>
            <w:hideMark/>
          </w:tcPr>
          <w:p w:rsidR="00950EA8" w:rsidRPr="005C3AA7" w:rsidRDefault="00950EA8" w:rsidP="00950EA8">
            <w:pPr>
              <w:jc w:val="center"/>
              <w:rPr>
                <w:rFonts w:eastAsia="Times New Roman"/>
                <w:b/>
                <w:bCs/>
                <w:sz w:val="16"/>
                <w:szCs w:val="16"/>
                <w:lang w:eastAsia="es-CO"/>
              </w:rPr>
            </w:pPr>
            <w:r w:rsidRPr="005C3AA7">
              <w:rPr>
                <w:rFonts w:eastAsia="Times New Roman"/>
                <w:b/>
                <w:bCs/>
                <w:sz w:val="16"/>
                <w:szCs w:val="16"/>
                <w:lang w:eastAsia="es-CO"/>
              </w:rPr>
              <w:t>2006</w:t>
            </w:r>
          </w:p>
        </w:tc>
        <w:tc>
          <w:tcPr>
            <w:tcW w:w="495" w:type="pct"/>
            <w:tcBorders>
              <w:top w:val="single" w:sz="4" w:space="0" w:color="auto"/>
              <w:left w:val="nil"/>
              <w:bottom w:val="single" w:sz="4" w:space="0" w:color="auto"/>
              <w:right w:val="single" w:sz="4" w:space="0" w:color="auto"/>
            </w:tcBorders>
            <w:shd w:val="clear" w:color="000000" w:fill="FFFFFF"/>
            <w:vAlign w:val="center"/>
            <w:hideMark/>
          </w:tcPr>
          <w:p w:rsidR="00950EA8" w:rsidRPr="005C3AA7" w:rsidRDefault="00950EA8" w:rsidP="00950EA8">
            <w:pPr>
              <w:jc w:val="center"/>
              <w:rPr>
                <w:rFonts w:eastAsia="Times New Roman"/>
                <w:b/>
                <w:bCs/>
                <w:sz w:val="16"/>
                <w:szCs w:val="16"/>
                <w:lang w:eastAsia="es-CO"/>
              </w:rPr>
            </w:pPr>
            <w:r w:rsidRPr="005C3AA7">
              <w:rPr>
                <w:rFonts w:eastAsia="Times New Roman"/>
                <w:b/>
                <w:bCs/>
                <w:sz w:val="16"/>
                <w:szCs w:val="16"/>
                <w:lang w:eastAsia="es-CO"/>
              </w:rPr>
              <w:t>2007</w:t>
            </w:r>
          </w:p>
        </w:tc>
        <w:tc>
          <w:tcPr>
            <w:tcW w:w="495" w:type="pct"/>
            <w:tcBorders>
              <w:top w:val="single" w:sz="4" w:space="0" w:color="auto"/>
              <w:left w:val="nil"/>
              <w:bottom w:val="single" w:sz="4" w:space="0" w:color="auto"/>
              <w:right w:val="single" w:sz="4" w:space="0" w:color="auto"/>
            </w:tcBorders>
            <w:shd w:val="clear" w:color="000000" w:fill="FFFFFF"/>
            <w:vAlign w:val="center"/>
            <w:hideMark/>
          </w:tcPr>
          <w:p w:rsidR="00950EA8" w:rsidRPr="005C3AA7" w:rsidRDefault="00950EA8" w:rsidP="00950EA8">
            <w:pPr>
              <w:jc w:val="center"/>
              <w:rPr>
                <w:rFonts w:eastAsia="Times New Roman"/>
                <w:b/>
                <w:bCs/>
                <w:sz w:val="16"/>
                <w:szCs w:val="16"/>
                <w:lang w:eastAsia="es-CO"/>
              </w:rPr>
            </w:pPr>
            <w:r w:rsidRPr="005C3AA7">
              <w:rPr>
                <w:rFonts w:eastAsia="Times New Roman"/>
                <w:b/>
                <w:bCs/>
                <w:sz w:val="16"/>
                <w:szCs w:val="16"/>
                <w:lang w:eastAsia="es-CO"/>
              </w:rPr>
              <w:t>2008</w:t>
            </w:r>
          </w:p>
        </w:tc>
        <w:tc>
          <w:tcPr>
            <w:tcW w:w="495" w:type="pct"/>
            <w:tcBorders>
              <w:top w:val="single" w:sz="4" w:space="0" w:color="auto"/>
              <w:left w:val="nil"/>
              <w:bottom w:val="single" w:sz="4" w:space="0" w:color="auto"/>
              <w:right w:val="single" w:sz="4" w:space="0" w:color="auto"/>
            </w:tcBorders>
            <w:shd w:val="clear" w:color="000000" w:fill="FFFFFF"/>
            <w:vAlign w:val="center"/>
            <w:hideMark/>
          </w:tcPr>
          <w:p w:rsidR="00950EA8" w:rsidRPr="005C3AA7" w:rsidRDefault="00950EA8" w:rsidP="00950EA8">
            <w:pPr>
              <w:jc w:val="center"/>
              <w:rPr>
                <w:rFonts w:eastAsia="Times New Roman"/>
                <w:b/>
                <w:bCs/>
                <w:sz w:val="16"/>
                <w:szCs w:val="16"/>
                <w:lang w:eastAsia="es-CO"/>
              </w:rPr>
            </w:pPr>
            <w:r w:rsidRPr="005C3AA7">
              <w:rPr>
                <w:rFonts w:eastAsia="Times New Roman"/>
                <w:b/>
                <w:bCs/>
                <w:sz w:val="16"/>
                <w:szCs w:val="16"/>
                <w:lang w:eastAsia="es-CO"/>
              </w:rPr>
              <w:t>2009</w:t>
            </w:r>
          </w:p>
        </w:tc>
        <w:tc>
          <w:tcPr>
            <w:tcW w:w="495" w:type="pct"/>
            <w:tcBorders>
              <w:top w:val="single" w:sz="4" w:space="0" w:color="auto"/>
              <w:left w:val="nil"/>
              <w:bottom w:val="single" w:sz="4" w:space="0" w:color="auto"/>
              <w:right w:val="single" w:sz="4" w:space="0" w:color="auto"/>
            </w:tcBorders>
            <w:shd w:val="clear" w:color="000000" w:fill="FFFFFF"/>
            <w:vAlign w:val="center"/>
            <w:hideMark/>
          </w:tcPr>
          <w:p w:rsidR="00950EA8" w:rsidRPr="005C3AA7" w:rsidRDefault="00950EA8" w:rsidP="00950EA8">
            <w:pPr>
              <w:jc w:val="center"/>
              <w:rPr>
                <w:rFonts w:eastAsia="Times New Roman"/>
                <w:b/>
                <w:bCs/>
                <w:sz w:val="16"/>
                <w:szCs w:val="16"/>
                <w:lang w:eastAsia="es-CO"/>
              </w:rPr>
            </w:pPr>
            <w:r w:rsidRPr="005C3AA7">
              <w:rPr>
                <w:rFonts w:eastAsia="Times New Roman"/>
                <w:b/>
                <w:bCs/>
                <w:sz w:val="16"/>
                <w:szCs w:val="16"/>
                <w:lang w:eastAsia="es-CO"/>
              </w:rPr>
              <w:t>2010</w:t>
            </w:r>
          </w:p>
        </w:tc>
        <w:tc>
          <w:tcPr>
            <w:tcW w:w="495" w:type="pct"/>
            <w:tcBorders>
              <w:top w:val="single" w:sz="4" w:space="0" w:color="auto"/>
              <w:left w:val="nil"/>
              <w:bottom w:val="single" w:sz="4" w:space="0" w:color="auto"/>
              <w:right w:val="single" w:sz="4" w:space="0" w:color="auto"/>
            </w:tcBorders>
            <w:shd w:val="clear" w:color="000000" w:fill="FFFFFF"/>
            <w:vAlign w:val="center"/>
            <w:hideMark/>
          </w:tcPr>
          <w:p w:rsidR="00950EA8" w:rsidRPr="005C3AA7" w:rsidRDefault="00950EA8" w:rsidP="00950EA8">
            <w:pPr>
              <w:jc w:val="center"/>
              <w:rPr>
                <w:rFonts w:eastAsia="Times New Roman"/>
                <w:b/>
                <w:bCs/>
                <w:sz w:val="16"/>
                <w:szCs w:val="16"/>
                <w:lang w:eastAsia="es-CO"/>
              </w:rPr>
            </w:pPr>
            <w:r w:rsidRPr="005C3AA7">
              <w:rPr>
                <w:rFonts w:eastAsia="Times New Roman"/>
                <w:b/>
                <w:bCs/>
                <w:sz w:val="16"/>
                <w:szCs w:val="16"/>
                <w:lang w:eastAsia="es-CO"/>
              </w:rPr>
              <w:t>2011</w:t>
            </w:r>
          </w:p>
        </w:tc>
        <w:tc>
          <w:tcPr>
            <w:tcW w:w="491" w:type="pct"/>
            <w:tcBorders>
              <w:top w:val="single" w:sz="4" w:space="0" w:color="auto"/>
              <w:left w:val="nil"/>
              <w:bottom w:val="single" w:sz="4" w:space="0" w:color="auto"/>
              <w:right w:val="single" w:sz="4" w:space="0" w:color="auto"/>
            </w:tcBorders>
            <w:shd w:val="clear" w:color="000000" w:fill="FFFFFF"/>
            <w:vAlign w:val="center"/>
            <w:hideMark/>
          </w:tcPr>
          <w:p w:rsidR="00950EA8" w:rsidRPr="005C3AA7" w:rsidRDefault="00950EA8" w:rsidP="00950EA8">
            <w:pPr>
              <w:jc w:val="center"/>
              <w:rPr>
                <w:rFonts w:eastAsia="Times New Roman"/>
                <w:b/>
                <w:bCs/>
                <w:sz w:val="16"/>
                <w:szCs w:val="16"/>
                <w:lang w:eastAsia="es-CO"/>
              </w:rPr>
            </w:pPr>
            <w:r w:rsidRPr="005C3AA7">
              <w:rPr>
                <w:rFonts w:eastAsia="Times New Roman"/>
                <w:b/>
                <w:bCs/>
                <w:sz w:val="16"/>
                <w:szCs w:val="16"/>
                <w:lang w:eastAsia="es-CO"/>
              </w:rPr>
              <w:t>Var 2006 – 2011 %</w:t>
            </w:r>
          </w:p>
        </w:tc>
      </w:tr>
      <w:tr w:rsidR="00950EA8" w:rsidRPr="005C3AA7" w:rsidTr="00950EA8">
        <w:trPr>
          <w:trHeight w:val="323"/>
        </w:trPr>
        <w:tc>
          <w:tcPr>
            <w:tcW w:w="1538" w:type="pct"/>
            <w:gridSpan w:val="2"/>
            <w:tcBorders>
              <w:top w:val="nil"/>
              <w:left w:val="single" w:sz="4" w:space="0" w:color="auto"/>
              <w:bottom w:val="single" w:sz="4" w:space="0" w:color="auto"/>
              <w:right w:val="single" w:sz="4" w:space="0" w:color="auto"/>
            </w:tcBorders>
            <w:shd w:val="clear" w:color="000000" w:fill="FFFFFF"/>
            <w:vAlign w:val="bottom"/>
            <w:hideMark/>
          </w:tcPr>
          <w:p w:rsidR="00950EA8" w:rsidRPr="00653B39" w:rsidRDefault="00950EA8" w:rsidP="00950EA8">
            <w:pPr>
              <w:rPr>
                <w:rFonts w:eastAsia="Times New Roman"/>
                <w:sz w:val="16"/>
                <w:szCs w:val="16"/>
                <w:lang w:eastAsia="es-CO"/>
              </w:rPr>
            </w:pPr>
            <w:r w:rsidRPr="00653B39">
              <w:rPr>
                <w:rFonts w:eastAsia="Times New Roman"/>
                <w:sz w:val="16"/>
                <w:szCs w:val="16"/>
                <w:lang w:eastAsia="es-CO"/>
              </w:rPr>
              <w:t>Exp. Stder Cap  62 (Miles US FOB)</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sz w:val="16"/>
                <w:szCs w:val="16"/>
                <w:lang w:eastAsia="es-CO"/>
              </w:rPr>
            </w:pPr>
            <w:r w:rsidRPr="001058BA">
              <w:rPr>
                <w:rFonts w:eastAsia="Times New Roman"/>
                <w:sz w:val="16"/>
                <w:szCs w:val="16"/>
                <w:lang w:eastAsia="es-CO"/>
              </w:rPr>
              <w:t>20455</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sz w:val="16"/>
                <w:szCs w:val="16"/>
                <w:lang w:eastAsia="es-CO"/>
              </w:rPr>
            </w:pPr>
            <w:r w:rsidRPr="001058BA">
              <w:rPr>
                <w:rFonts w:eastAsia="Times New Roman"/>
                <w:sz w:val="16"/>
                <w:szCs w:val="16"/>
                <w:lang w:eastAsia="es-CO"/>
              </w:rPr>
              <w:t>27531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sz w:val="16"/>
                <w:szCs w:val="16"/>
                <w:lang w:eastAsia="es-CO"/>
              </w:rPr>
            </w:pPr>
            <w:r w:rsidRPr="001058BA">
              <w:rPr>
                <w:rFonts w:eastAsia="Times New Roman"/>
                <w:sz w:val="16"/>
                <w:szCs w:val="16"/>
                <w:lang w:eastAsia="es-CO"/>
              </w:rPr>
              <w:t>22245</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sz w:val="16"/>
                <w:szCs w:val="16"/>
                <w:lang w:eastAsia="es-CO"/>
              </w:rPr>
            </w:pPr>
            <w:r w:rsidRPr="001058BA">
              <w:rPr>
                <w:rFonts w:eastAsia="Times New Roman"/>
                <w:sz w:val="16"/>
                <w:szCs w:val="16"/>
                <w:lang w:eastAsia="es-CO"/>
              </w:rPr>
              <w:t>9474</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sz w:val="16"/>
                <w:szCs w:val="16"/>
                <w:lang w:eastAsia="es-CO"/>
              </w:rPr>
            </w:pPr>
            <w:r w:rsidRPr="001058BA">
              <w:rPr>
                <w:rFonts w:eastAsia="Times New Roman"/>
                <w:sz w:val="16"/>
                <w:szCs w:val="16"/>
                <w:lang w:eastAsia="es-CO"/>
              </w:rPr>
              <w:t>7031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sz w:val="16"/>
                <w:szCs w:val="16"/>
                <w:lang w:eastAsia="es-CO"/>
              </w:rPr>
            </w:pPr>
            <w:r w:rsidRPr="001058BA">
              <w:rPr>
                <w:rFonts w:eastAsia="Times New Roman"/>
                <w:sz w:val="16"/>
                <w:szCs w:val="16"/>
                <w:lang w:eastAsia="es-CO"/>
              </w:rPr>
              <w:t>6440</w:t>
            </w:r>
          </w:p>
        </w:tc>
        <w:tc>
          <w:tcPr>
            <w:tcW w:w="491"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-68,52</w:t>
            </w:r>
          </w:p>
        </w:tc>
      </w:tr>
      <w:tr w:rsidR="00950EA8" w:rsidRPr="005C3AA7" w:rsidTr="00950EA8">
        <w:trPr>
          <w:trHeight w:val="283"/>
        </w:trPr>
        <w:tc>
          <w:tcPr>
            <w:tcW w:w="1538" w:type="pct"/>
            <w:gridSpan w:val="2"/>
            <w:tcBorders>
              <w:top w:val="nil"/>
              <w:left w:val="single" w:sz="4" w:space="0" w:color="auto"/>
              <w:bottom w:val="single" w:sz="4" w:space="0" w:color="auto"/>
              <w:right w:val="single" w:sz="4" w:space="0" w:color="auto"/>
            </w:tcBorders>
            <w:shd w:val="clear" w:color="000000" w:fill="FFFFFF"/>
            <w:vAlign w:val="bottom"/>
            <w:hideMark/>
          </w:tcPr>
          <w:p w:rsidR="00950EA8" w:rsidRPr="006D435A" w:rsidRDefault="00950EA8" w:rsidP="00950EA8">
            <w:pPr>
              <w:rPr>
                <w:rFonts w:eastAsia="Times New Roman"/>
                <w:sz w:val="16"/>
                <w:szCs w:val="16"/>
                <w:lang w:val="en-US" w:eastAsia="es-CO"/>
              </w:rPr>
            </w:pPr>
            <w:r>
              <w:rPr>
                <w:rFonts w:eastAsia="Times New Roman"/>
                <w:sz w:val="16"/>
                <w:szCs w:val="16"/>
                <w:lang w:val="en-US" w:eastAsia="es-CO"/>
              </w:rPr>
              <w:t>I</w:t>
            </w:r>
            <w:r w:rsidRPr="006D435A">
              <w:rPr>
                <w:rFonts w:eastAsia="Times New Roman"/>
                <w:sz w:val="16"/>
                <w:szCs w:val="16"/>
                <w:lang w:val="en-US" w:eastAsia="es-CO"/>
              </w:rPr>
              <w:t xml:space="preserve">mp. Stder Cap </w:t>
            </w:r>
            <w:r>
              <w:rPr>
                <w:rFonts w:eastAsia="Times New Roman"/>
                <w:sz w:val="16"/>
                <w:szCs w:val="16"/>
                <w:lang w:val="en-US" w:eastAsia="es-CO"/>
              </w:rPr>
              <w:t>62</w:t>
            </w:r>
            <w:r w:rsidRPr="006D435A">
              <w:rPr>
                <w:rFonts w:eastAsia="Times New Roman"/>
                <w:sz w:val="16"/>
                <w:szCs w:val="16"/>
                <w:lang w:val="en-US" w:eastAsia="es-CO"/>
              </w:rPr>
              <w:t xml:space="preserve"> (Miles US CIF)</w:t>
            </w:r>
          </w:p>
        </w:tc>
        <w:tc>
          <w:tcPr>
            <w:tcW w:w="495" w:type="pct"/>
            <w:tcBorders>
              <w:top w:val="nil"/>
              <w:left w:val="nil"/>
              <w:bottom w:val="single" w:sz="4" w:space="0" w:color="auto"/>
              <w:right w:val="single" w:sz="4" w:space="0" w:color="auto"/>
            </w:tcBorders>
            <w:shd w:val="clear" w:color="000000" w:fill="FFFFFF"/>
            <w:noWrap/>
            <w:vAlign w:val="bottom"/>
            <w:hideMark/>
          </w:tcPr>
          <w:p w:rsidR="00950EA8" w:rsidRPr="001058BA" w:rsidRDefault="00950EA8" w:rsidP="00950EA8">
            <w:pPr>
              <w:jc w:val="right"/>
              <w:rPr>
                <w:rFonts w:eastAsia="Times New Roman"/>
                <w:sz w:val="16"/>
                <w:szCs w:val="16"/>
                <w:lang w:eastAsia="es-CO"/>
              </w:rPr>
            </w:pPr>
            <w:r w:rsidRPr="001058BA">
              <w:rPr>
                <w:rFonts w:eastAsia="Times New Roman"/>
                <w:sz w:val="16"/>
                <w:szCs w:val="16"/>
                <w:lang w:eastAsia="es-CO"/>
              </w:rPr>
              <w:t>660</w:t>
            </w:r>
          </w:p>
        </w:tc>
        <w:tc>
          <w:tcPr>
            <w:tcW w:w="495" w:type="pct"/>
            <w:tcBorders>
              <w:top w:val="nil"/>
              <w:left w:val="nil"/>
              <w:bottom w:val="single" w:sz="4" w:space="0" w:color="auto"/>
              <w:right w:val="single" w:sz="4" w:space="0" w:color="auto"/>
            </w:tcBorders>
            <w:shd w:val="clear" w:color="000000" w:fill="FFFFFF"/>
            <w:noWrap/>
            <w:vAlign w:val="bottom"/>
            <w:hideMark/>
          </w:tcPr>
          <w:p w:rsidR="00950EA8" w:rsidRPr="001058BA" w:rsidRDefault="00950EA8" w:rsidP="00950EA8">
            <w:pPr>
              <w:jc w:val="right"/>
              <w:rPr>
                <w:rFonts w:eastAsia="Times New Roman"/>
                <w:sz w:val="16"/>
                <w:szCs w:val="16"/>
                <w:lang w:eastAsia="es-CO"/>
              </w:rPr>
            </w:pPr>
            <w:r w:rsidRPr="001058BA">
              <w:rPr>
                <w:rFonts w:eastAsia="Times New Roman"/>
                <w:sz w:val="16"/>
                <w:szCs w:val="16"/>
                <w:lang w:eastAsia="es-CO"/>
              </w:rPr>
              <w:t>635</w:t>
            </w:r>
          </w:p>
        </w:tc>
        <w:tc>
          <w:tcPr>
            <w:tcW w:w="495" w:type="pct"/>
            <w:tcBorders>
              <w:top w:val="nil"/>
              <w:left w:val="nil"/>
              <w:bottom w:val="single" w:sz="4" w:space="0" w:color="auto"/>
              <w:right w:val="single" w:sz="4" w:space="0" w:color="auto"/>
            </w:tcBorders>
            <w:shd w:val="clear" w:color="000000" w:fill="FFFFFF"/>
            <w:noWrap/>
            <w:vAlign w:val="bottom"/>
            <w:hideMark/>
          </w:tcPr>
          <w:p w:rsidR="00950EA8" w:rsidRPr="001058BA" w:rsidRDefault="00950EA8" w:rsidP="00950EA8">
            <w:pPr>
              <w:jc w:val="right"/>
              <w:rPr>
                <w:rFonts w:eastAsia="Times New Roman"/>
                <w:sz w:val="16"/>
                <w:szCs w:val="16"/>
                <w:lang w:eastAsia="es-CO"/>
              </w:rPr>
            </w:pPr>
            <w:r w:rsidRPr="001058BA">
              <w:rPr>
                <w:rFonts w:eastAsia="Times New Roman"/>
                <w:sz w:val="16"/>
                <w:szCs w:val="16"/>
                <w:lang w:eastAsia="es-CO"/>
              </w:rPr>
              <w:t>264</w:t>
            </w:r>
          </w:p>
        </w:tc>
        <w:tc>
          <w:tcPr>
            <w:tcW w:w="495" w:type="pct"/>
            <w:tcBorders>
              <w:top w:val="nil"/>
              <w:left w:val="nil"/>
              <w:bottom w:val="single" w:sz="4" w:space="0" w:color="auto"/>
              <w:right w:val="single" w:sz="4" w:space="0" w:color="auto"/>
            </w:tcBorders>
            <w:shd w:val="clear" w:color="000000" w:fill="FFFFFF"/>
            <w:noWrap/>
            <w:vAlign w:val="bottom"/>
            <w:hideMark/>
          </w:tcPr>
          <w:p w:rsidR="00950EA8" w:rsidRPr="001058BA" w:rsidRDefault="00950EA8" w:rsidP="00950EA8">
            <w:pPr>
              <w:jc w:val="right"/>
              <w:rPr>
                <w:rFonts w:eastAsia="Times New Roman"/>
                <w:sz w:val="16"/>
                <w:szCs w:val="16"/>
                <w:lang w:eastAsia="es-CO"/>
              </w:rPr>
            </w:pPr>
            <w:r w:rsidRPr="001058BA">
              <w:rPr>
                <w:rFonts w:eastAsia="Times New Roman"/>
                <w:sz w:val="16"/>
                <w:szCs w:val="16"/>
                <w:lang w:eastAsia="es-CO"/>
              </w:rPr>
              <w:t>163</w:t>
            </w:r>
          </w:p>
        </w:tc>
        <w:tc>
          <w:tcPr>
            <w:tcW w:w="495" w:type="pct"/>
            <w:tcBorders>
              <w:top w:val="nil"/>
              <w:left w:val="nil"/>
              <w:bottom w:val="single" w:sz="4" w:space="0" w:color="auto"/>
              <w:right w:val="single" w:sz="4" w:space="0" w:color="auto"/>
            </w:tcBorders>
            <w:shd w:val="clear" w:color="000000" w:fill="FFFFFF"/>
            <w:noWrap/>
            <w:vAlign w:val="bottom"/>
            <w:hideMark/>
          </w:tcPr>
          <w:p w:rsidR="00950EA8" w:rsidRPr="001058BA" w:rsidRDefault="00950EA8" w:rsidP="00950EA8">
            <w:pPr>
              <w:jc w:val="right"/>
              <w:rPr>
                <w:rFonts w:eastAsia="Times New Roman"/>
                <w:sz w:val="16"/>
                <w:szCs w:val="16"/>
                <w:lang w:eastAsia="es-CO"/>
              </w:rPr>
            </w:pPr>
            <w:r w:rsidRPr="001058BA">
              <w:rPr>
                <w:rFonts w:eastAsia="Times New Roman"/>
                <w:sz w:val="16"/>
                <w:szCs w:val="16"/>
                <w:lang w:eastAsia="es-CO"/>
              </w:rPr>
              <w:t>281</w:t>
            </w:r>
          </w:p>
        </w:tc>
        <w:tc>
          <w:tcPr>
            <w:tcW w:w="495" w:type="pct"/>
            <w:tcBorders>
              <w:top w:val="nil"/>
              <w:left w:val="nil"/>
              <w:bottom w:val="single" w:sz="4" w:space="0" w:color="auto"/>
              <w:right w:val="single" w:sz="4" w:space="0" w:color="auto"/>
            </w:tcBorders>
            <w:shd w:val="clear" w:color="000000" w:fill="FFFFFF"/>
            <w:noWrap/>
            <w:vAlign w:val="bottom"/>
            <w:hideMark/>
          </w:tcPr>
          <w:p w:rsidR="00950EA8" w:rsidRPr="001058BA" w:rsidRDefault="00950EA8" w:rsidP="00950EA8">
            <w:pPr>
              <w:jc w:val="right"/>
              <w:rPr>
                <w:rFonts w:eastAsia="Times New Roman"/>
                <w:sz w:val="16"/>
                <w:szCs w:val="16"/>
                <w:lang w:eastAsia="es-CO"/>
              </w:rPr>
            </w:pPr>
            <w:r w:rsidRPr="001058BA">
              <w:rPr>
                <w:rFonts w:eastAsia="Times New Roman"/>
                <w:sz w:val="16"/>
                <w:szCs w:val="16"/>
                <w:lang w:eastAsia="es-CO"/>
              </w:rPr>
              <w:t>947</w:t>
            </w:r>
          </w:p>
        </w:tc>
        <w:tc>
          <w:tcPr>
            <w:tcW w:w="491"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43,56</w:t>
            </w:r>
          </w:p>
        </w:tc>
      </w:tr>
      <w:tr w:rsidR="00950EA8" w:rsidRPr="005C3AA7" w:rsidTr="00950EA8">
        <w:trPr>
          <w:trHeight w:val="275"/>
        </w:trPr>
        <w:tc>
          <w:tcPr>
            <w:tcW w:w="1538" w:type="pct"/>
            <w:gridSpan w:val="2"/>
            <w:tcBorders>
              <w:top w:val="nil"/>
              <w:left w:val="single" w:sz="4" w:space="0" w:color="auto"/>
              <w:bottom w:val="single" w:sz="4" w:space="0" w:color="auto"/>
              <w:right w:val="single" w:sz="4" w:space="0" w:color="auto"/>
            </w:tcBorders>
            <w:shd w:val="clear" w:color="000000" w:fill="FFFFFF"/>
            <w:vAlign w:val="bottom"/>
            <w:hideMark/>
          </w:tcPr>
          <w:p w:rsidR="00950EA8" w:rsidRPr="006D435A" w:rsidRDefault="00950EA8" w:rsidP="00950EA8">
            <w:pPr>
              <w:rPr>
                <w:rFonts w:eastAsia="Times New Roman"/>
                <w:sz w:val="16"/>
                <w:szCs w:val="16"/>
                <w:lang w:eastAsia="es-CO"/>
              </w:rPr>
            </w:pPr>
            <w:r>
              <w:rPr>
                <w:rFonts w:eastAsia="Times New Roman"/>
                <w:sz w:val="16"/>
                <w:szCs w:val="16"/>
                <w:lang w:eastAsia="es-CO"/>
              </w:rPr>
              <w:t>B</w:t>
            </w:r>
            <w:r w:rsidRPr="006D435A">
              <w:rPr>
                <w:rFonts w:eastAsia="Times New Roman"/>
                <w:sz w:val="16"/>
                <w:szCs w:val="16"/>
                <w:lang w:eastAsia="es-CO"/>
              </w:rPr>
              <w:t>alanza Comercial FOB/CIF</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19796</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26895</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21981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9311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6750</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5493</w:t>
            </w:r>
          </w:p>
        </w:tc>
        <w:tc>
          <w:tcPr>
            <w:tcW w:w="491"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-72,25</w:t>
            </w:r>
          </w:p>
        </w:tc>
      </w:tr>
      <w:tr w:rsidR="00950EA8" w:rsidRPr="005C3AA7" w:rsidTr="00950EA8">
        <w:trPr>
          <w:trHeight w:val="278"/>
        </w:trPr>
        <w:tc>
          <w:tcPr>
            <w:tcW w:w="1538" w:type="pct"/>
            <w:gridSpan w:val="2"/>
            <w:tcBorders>
              <w:top w:val="nil"/>
              <w:left w:val="single" w:sz="4" w:space="0" w:color="auto"/>
              <w:bottom w:val="single" w:sz="4" w:space="0" w:color="auto"/>
              <w:right w:val="single" w:sz="4" w:space="0" w:color="auto"/>
            </w:tcBorders>
            <w:shd w:val="clear" w:color="000000" w:fill="FFFFFF"/>
            <w:vAlign w:val="bottom"/>
            <w:hideMark/>
          </w:tcPr>
          <w:p w:rsidR="00950EA8" w:rsidRPr="006D435A" w:rsidRDefault="00950EA8" w:rsidP="00950EA8">
            <w:pPr>
              <w:rPr>
                <w:rFonts w:eastAsia="Times New Roman"/>
                <w:sz w:val="16"/>
                <w:szCs w:val="16"/>
                <w:lang w:eastAsia="es-CO"/>
              </w:rPr>
            </w:pPr>
            <w:r>
              <w:rPr>
                <w:rFonts w:eastAsia="Times New Roman"/>
                <w:sz w:val="16"/>
                <w:szCs w:val="16"/>
                <w:lang w:eastAsia="es-CO"/>
              </w:rPr>
              <w:t>E</w:t>
            </w:r>
            <w:r w:rsidRPr="006D435A">
              <w:rPr>
                <w:rFonts w:eastAsia="Times New Roman"/>
                <w:sz w:val="16"/>
                <w:szCs w:val="16"/>
                <w:lang w:eastAsia="es-CO"/>
              </w:rPr>
              <w:t>XP./IMP.</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31,00</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43,33</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84,29</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58,24</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25,03</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6,80</w:t>
            </w:r>
          </w:p>
        </w:tc>
        <w:tc>
          <w:tcPr>
            <w:tcW w:w="491" w:type="pct"/>
            <w:tcBorders>
              <w:top w:val="nil"/>
              <w:left w:val="nil"/>
              <w:bottom w:val="single" w:sz="4" w:space="0" w:color="auto"/>
              <w:right w:val="single" w:sz="4" w:space="0" w:color="auto"/>
            </w:tcBorders>
            <w:shd w:val="clear" w:color="auto" w:fill="auto"/>
            <w:noWrap/>
            <w:vAlign w:val="bottom"/>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-78,07</w:t>
            </w:r>
          </w:p>
        </w:tc>
      </w:tr>
      <w:tr w:rsidR="00950EA8" w:rsidRPr="005C3AA7" w:rsidTr="00950EA8">
        <w:trPr>
          <w:trHeight w:val="140"/>
        </w:trPr>
        <w:tc>
          <w:tcPr>
            <w:tcW w:w="5000" w:type="pct"/>
            <w:gridSpan w:val="9"/>
            <w:tcBorders>
              <w:top w:val="nil"/>
              <w:left w:val="single" w:sz="4" w:space="0" w:color="auto"/>
              <w:bottom w:val="single" w:sz="4" w:space="0" w:color="auto"/>
              <w:right w:val="single" w:sz="4" w:space="0" w:color="auto"/>
            </w:tcBorders>
            <w:shd w:val="clear" w:color="000000" w:fill="FFFFFF"/>
            <w:vAlign w:val="bottom"/>
          </w:tcPr>
          <w:p w:rsidR="00950EA8" w:rsidRPr="0069026E" w:rsidRDefault="00950EA8" w:rsidP="00950EA8">
            <w:pPr>
              <w:rPr>
                <w:rFonts w:eastAsia="Times New Roman"/>
                <w:b/>
                <w:color w:val="000000"/>
                <w:sz w:val="20"/>
                <w:szCs w:val="20"/>
                <w:lang w:eastAsia="es-CO"/>
              </w:rPr>
            </w:pPr>
            <w:r w:rsidRPr="0069026E">
              <w:rPr>
                <w:rFonts w:eastAsia="Times New Roman"/>
                <w:b/>
                <w:color w:val="000000"/>
                <w:sz w:val="20"/>
                <w:szCs w:val="20"/>
                <w:lang w:eastAsia="es-CO"/>
              </w:rPr>
              <w:t>Participación departamental y nacional</w:t>
            </w:r>
            <w:r>
              <w:rPr>
                <w:rFonts w:eastAsia="Times New Roman"/>
                <w:b/>
                <w:color w:val="000000"/>
                <w:sz w:val="20"/>
                <w:szCs w:val="20"/>
                <w:lang w:eastAsia="es-CO"/>
              </w:rPr>
              <w:t xml:space="preserve"> (Miles dólares Fob)</w:t>
            </w:r>
          </w:p>
        </w:tc>
      </w:tr>
      <w:tr w:rsidR="00950EA8" w:rsidRPr="005C3AA7" w:rsidTr="00950EA8">
        <w:trPr>
          <w:trHeight w:val="339"/>
        </w:trPr>
        <w:tc>
          <w:tcPr>
            <w:tcW w:w="1538" w:type="pct"/>
            <w:gridSpan w:val="2"/>
            <w:tcBorders>
              <w:top w:val="nil"/>
              <w:left w:val="single" w:sz="4" w:space="0" w:color="auto"/>
              <w:bottom w:val="single" w:sz="4" w:space="0" w:color="auto"/>
              <w:right w:val="single" w:sz="4" w:space="0" w:color="auto"/>
            </w:tcBorders>
            <w:shd w:val="clear" w:color="000000" w:fill="FFFFFF"/>
            <w:vAlign w:val="center"/>
            <w:hideMark/>
          </w:tcPr>
          <w:p w:rsidR="00950EA8" w:rsidRPr="005C3AA7" w:rsidRDefault="00950EA8" w:rsidP="00950EA8">
            <w:pPr>
              <w:rPr>
                <w:rFonts w:eastAsia="Times New Roman"/>
                <w:sz w:val="16"/>
                <w:szCs w:val="16"/>
                <w:lang w:eastAsia="es-CO"/>
              </w:rPr>
            </w:pPr>
            <w:r w:rsidRPr="005C3AA7">
              <w:rPr>
                <w:rFonts w:eastAsia="Times New Roman"/>
                <w:sz w:val="16"/>
                <w:szCs w:val="16"/>
                <w:lang w:eastAsia="es-CO"/>
              </w:rPr>
              <w:t>Exportaciones totales Santander</w:t>
            </w:r>
            <w:r>
              <w:rPr>
                <w:rFonts w:eastAsia="Times New Roman"/>
                <w:sz w:val="16"/>
                <w:szCs w:val="16"/>
                <w:lang w:eastAsia="es-CO"/>
              </w:rPr>
              <w:t xml:space="preserve"> </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jc w:val="right"/>
              <w:rPr>
                <w:rFonts w:eastAsia="Times New Roman"/>
                <w:color w:val="000000"/>
                <w:sz w:val="16"/>
                <w:szCs w:val="16"/>
                <w:lang w:eastAsia="es-CO"/>
              </w:rPr>
            </w:pPr>
            <w:r w:rsidRPr="005C3AA7">
              <w:rPr>
                <w:rFonts w:eastAsia="Times New Roman"/>
                <w:color w:val="000000"/>
                <w:sz w:val="16"/>
                <w:szCs w:val="16"/>
                <w:lang w:eastAsia="es-CO"/>
              </w:rPr>
              <w:t>278477</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jc w:val="right"/>
              <w:rPr>
                <w:rFonts w:eastAsia="Times New Roman"/>
                <w:color w:val="000000"/>
                <w:sz w:val="16"/>
                <w:szCs w:val="16"/>
                <w:lang w:eastAsia="es-CO"/>
              </w:rPr>
            </w:pPr>
            <w:r w:rsidRPr="005C3AA7">
              <w:rPr>
                <w:rFonts w:eastAsia="Times New Roman"/>
                <w:color w:val="000000"/>
                <w:sz w:val="16"/>
                <w:szCs w:val="16"/>
                <w:lang w:eastAsia="es-CO"/>
              </w:rPr>
              <w:t>477389</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jc w:val="right"/>
              <w:rPr>
                <w:rFonts w:eastAsia="Times New Roman"/>
                <w:color w:val="000000"/>
                <w:sz w:val="16"/>
                <w:szCs w:val="16"/>
                <w:lang w:eastAsia="es-CO"/>
              </w:rPr>
            </w:pPr>
            <w:r w:rsidRPr="005C3AA7">
              <w:rPr>
                <w:rFonts w:eastAsia="Times New Roman"/>
                <w:color w:val="000000"/>
                <w:sz w:val="16"/>
                <w:szCs w:val="16"/>
                <w:lang w:eastAsia="es-CO"/>
              </w:rPr>
              <w:t>615197</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jc w:val="right"/>
              <w:rPr>
                <w:rFonts w:eastAsia="Times New Roman"/>
                <w:color w:val="000000"/>
                <w:sz w:val="16"/>
                <w:szCs w:val="16"/>
                <w:lang w:eastAsia="es-CO"/>
              </w:rPr>
            </w:pPr>
            <w:r w:rsidRPr="005C3AA7">
              <w:rPr>
                <w:rFonts w:eastAsia="Times New Roman"/>
                <w:color w:val="000000"/>
                <w:sz w:val="16"/>
                <w:szCs w:val="16"/>
                <w:lang w:eastAsia="es-CO"/>
              </w:rPr>
              <w:t>678946</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jc w:val="right"/>
              <w:rPr>
                <w:rFonts w:eastAsia="Times New Roman"/>
                <w:color w:val="000000"/>
                <w:sz w:val="16"/>
                <w:szCs w:val="16"/>
                <w:lang w:eastAsia="es-CO"/>
              </w:rPr>
            </w:pPr>
            <w:r w:rsidRPr="005C3AA7">
              <w:rPr>
                <w:rFonts w:eastAsia="Times New Roman"/>
                <w:color w:val="000000"/>
                <w:sz w:val="16"/>
                <w:szCs w:val="16"/>
                <w:lang w:eastAsia="es-CO"/>
              </w:rPr>
              <w:t>448021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jc w:val="right"/>
              <w:rPr>
                <w:rFonts w:eastAsia="Times New Roman"/>
                <w:color w:val="000000"/>
                <w:sz w:val="16"/>
                <w:szCs w:val="16"/>
                <w:lang w:eastAsia="es-CO"/>
              </w:rPr>
            </w:pPr>
            <w:r w:rsidRPr="005C3AA7">
              <w:rPr>
                <w:rFonts w:eastAsia="Times New Roman"/>
                <w:color w:val="000000"/>
                <w:sz w:val="16"/>
                <w:szCs w:val="16"/>
                <w:lang w:eastAsia="es-CO"/>
              </w:rPr>
              <w:t>633534</w:t>
            </w:r>
          </w:p>
        </w:tc>
        <w:tc>
          <w:tcPr>
            <w:tcW w:w="491"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jc w:val="right"/>
              <w:rPr>
                <w:rFonts w:eastAsia="Times New Roman"/>
                <w:color w:val="000000"/>
                <w:sz w:val="16"/>
                <w:szCs w:val="16"/>
                <w:lang w:eastAsia="es-CO"/>
              </w:rPr>
            </w:pPr>
            <w:r w:rsidRPr="005C3AA7">
              <w:rPr>
                <w:rFonts w:eastAsia="Times New Roman"/>
                <w:color w:val="000000"/>
                <w:sz w:val="16"/>
                <w:szCs w:val="16"/>
                <w:lang w:eastAsia="es-CO"/>
              </w:rPr>
              <w:t>127,5%</w:t>
            </w:r>
          </w:p>
        </w:tc>
      </w:tr>
      <w:tr w:rsidR="00950EA8" w:rsidRPr="005C3AA7" w:rsidTr="00950EA8">
        <w:trPr>
          <w:trHeight w:val="339"/>
        </w:trPr>
        <w:tc>
          <w:tcPr>
            <w:tcW w:w="1538" w:type="pct"/>
            <w:gridSpan w:val="2"/>
            <w:tcBorders>
              <w:top w:val="nil"/>
              <w:left w:val="single" w:sz="4" w:space="0" w:color="auto"/>
              <w:bottom w:val="single" w:sz="4" w:space="0" w:color="auto"/>
              <w:right w:val="single" w:sz="4" w:space="0" w:color="auto"/>
            </w:tcBorders>
            <w:shd w:val="clear" w:color="000000" w:fill="FFFFFF"/>
            <w:vAlign w:val="center"/>
            <w:hideMark/>
          </w:tcPr>
          <w:p w:rsidR="00950EA8" w:rsidRPr="005C3AA7" w:rsidRDefault="00950EA8" w:rsidP="00950EA8">
            <w:pPr>
              <w:rPr>
                <w:rFonts w:eastAsia="Times New Roman"/>
                <w:sz w:val="16"/>
                <w:szCs w:val="16"/>
                <w:lang w:eastAsia="es-CO"/>
              </w:rPr>
            </w:pPr>
            <w:r w:rsidRPr="005C3AA7">
              <w:rPr>
                <w:rFonts w:eastAsia="Times New Roman"/>
                <w:sz w:val="16"/>
                <w:szCs w:val="16"/>
                <w:lang w:eastAsia="es-CO"/>
              </w:rPr>
              <w:t>Participación</w:t>
            </w:r>
            <w:r>
              <w:rPr>
                <w:rFonts w:eastAsia="Times New Roman"/>
                <w:sz w:val="16"/>
                <w:szCs w:val="16"/>
                <w:lang w:eastAsia="es-CO"/>
              </w:rPr>
              <w:t xml:space="preserve"> Cap. 62</w:t>
            </w:r>
            <w:r w:rsidRPr="005C3AA7">
              <w:rPr>
                <w:rFonts w:eastAsia="Times New Roman"/>
                <w:sz w:val="16"/>
                <w:szCs w:val="16"/>
                <w:lang w:eastAsia="es-CO"/>
              </w:rPr>
              <w:t xml:space="preserve"> en exp</w:t>
            </w:r>
            <w:r>
              <w:rPr>
                <w:rFonts w:eastAsia="Times New Roman"/>
                <w:sz w:val="16"/>
                <w:szCs w:val="16"/>
                <w:lang w:eastAsia="es-CO"/>
              </w:rPr>
              <w:t>ortaciones d</w:t>
            </w:r>
            <w:r w:rsidRPr="005C3AA7">
              <w:rPr>
                <w:rFonts w:eastAsia="Times New Roman"/>
                <w:sz w:val="16"/>
                <w:szCs w:val="16"/>
                <w:lang w:eastAsia="es-CO"/>
              </w:rPr>
              <w:t xml:space="preserve">e </w:t>
            </w:r>
            <w:r>
              <w:rPr>
                <w:rFonts w:eastAsia="Times New Roman"/>
                <w:sz w:val="16"/>
                <w:szCs w:val="16"/>
                <w:lang w:eastAsia="es-CO"/>
              </w:rPr>
              <w:t>Santander</w:t>
            </w:r>
            <w:r w:rsidRPr="005C3AA7">
              <w:rPr>
                <w:rFonts w:eastAsia="Times New Roman"/>
                <w:sz w:val="16"/>
                <w:szCs w:val="16"/>
                <w:lang w:eastAsia="es-CO"/>
              </w:rPr>
              <w:t xml:space="preserve"> (%)</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7,3</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5,8</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3,6</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1,4</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1,6</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1,0</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 </w:t>
            </w:r>
          </w:p>
        </w:tc>
      </w:tr>
      <w:tr w:rsidR="00950EA8" w:rsidRPr="005C3AA7" w:rsidTr="00950EA8">
        <w:trPr>
          <w:trHeight w:val="339"/>
        </w:trPr>
        <w:tc>
          <w:tcPr>
            <w:tcW w:w="1538" w:type="pct"/>
            <w:gridSpan w:val="2"/>
            <w:tcBorders>
              <w:top w:val="nil"/>
              <w:left w:val="single" w:sz="4" w:space="0" w:color="auto"/>
              <w:bottom w:val="single" w:sz="4" w:space="0" w:color="auto"/>
              <w:right w:val="single" w:sz="4" w:space="0" w:color="auto"/>
            </w:tcBorders>
            <w:shd w:val="clear" w:color="000000" w:fill="FFFFFF"/>
            <w:vAlign w:val="center"/>
            <w:hideMark/>
          </w:tcPr>
          <w:p w:rsidR="00950EA8" w:rsidRPr="005C3AA7" w:rsidRDefault="00950EA8" w:rsidP="00950EA8">
            <w:pPr>
              <w:rPr>
                <w:rFonts w:eastAsia="Times New Roman"/>
                <w:sz w:val="16"/>
                <w:szCs w:val="16"/>
                <w:lang w:eastAsia="es-CO"/>
              </w:rPr>
            </w:pPr>
            <w:r>
              <w:rPr>
                <w:rFonts w:eastAsia="Times New Roman"/>
                <w:sz w:val="16"/>
                <w:szCs w:val="16"/>
                <w:lang w:eastAsia="es-CO"/>
              </w:rPr>
              <w:t xml:space="preserve">Exportaciones </w:t>
            </w:r>
            <w:r w:rsidRPr="005C3AA7">
              <w:rPr>
                <w:rFonts w:eastAsia="Times New Roman"/>
                <w:sz w:val="16"/>
                <w:szCs w:val="16"/>
                <w:lang w:eastAsia="es-CO"/>
              </w:rPr>
              <w:t xml:space="preserve">Colombia </w:t>
            </w:r>
            <w:r>
              <w:rPr>
                <w:rFonts w:eastAsia="Times New Roman"/>
                <w:sz w:val="16"/>
                <w:szCs w:val="16"/>
                <w:lang w:eastAsia="es-CO"/>
              </w:rPr>
              <w:t>C</w:t>
            </w:r>
            <w:r w:rsidRPr="005C3AA7">
              <w:rPr>
                <w:rFonts w:eastAsia="Times New Roman"/>
                <w:sz w:val="16"/>
                <w:szCs w:val="16"/>
                <w:lang w:eastAsia="es-CO"/>
              </w:rPr>
              <w:t>ap</w:t>
            </w:r>
            <w:r>
              <w:rPr>
                <w:rFonts w:eastAsia="Times New Roman"/>
                <w:sz w:val="16"/>
                <w:szCs w:val="16"/>
                <w:lang w:eastAsia="es-CO"/>
              </w:rPr>
              <w:t xml:space="preserve">. 62 </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550247</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676940</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603254</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324290</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359158</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364386</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-33,8%</w:t>
            </w:r>
          </w:p>
        </w:tc>
      </w:tr>
      <w:tr w:rsidR="00950EA8" w:rsidRPr="005C3AA7" w:rsidTr="00950EA8">
        <w:trPr>
          <w:trHeight w:val="339"/>
        </w:trPr>
        <w:tc>
          <w:tcPr>
            <w:tcW w:w="1538" w:type="pct"/>
            <w:gridSpan w:val="2"/>
            <w:tcBorders>
              <w:top w:val="nil"/>
              <w:left w:val="single" w:sz="4" w:space="0" w:color="auto"/>
              <w:bottom w:val="single" w:sz="4" w:space="0" w:color="auto"/>
              <w:right w:val="single" w:sz="4" w:space="0" w:color="auto"/>
            </w:tcBorders>
            <w:shd w:val="clear" w:color="000000" w:fill="FFFFFF"/>
            <w:vAlign w:val="center"/>
            <w:hideMark/>
          </w:tcPr>
          <w:p w:rsidR="00950EA8" w:rsidRPr="005C3AA7" w:rsidRDefault="00950EA8" w:rsidP="00950EA8">
            <w:pPr>
              <w:rPr>
                <w:rFonts w:eastAsia="Times New Roman"/>
                <w:sz w:val="16"/>
                <w:szCs w:val="16"/>
                <w:lang w:eastAsia="es-CO"/>
              </w:rPr>
            </w:pPr>
            <w:r w:rsidRPr="005C3AA7">
              <w:rPr>
                <w:rFonts w:eastAsia="Times New Roman"/>
                <w:sz w:val="16"/>
                <w:szCs w:val="16"/>
                <w:lang w:eastAsia="es-CO"/>
              </w:rPr>
              <w:t>Participación S</w:t>
            </w:r>
            <w:r>
              <w:rPr>
                <w:rFonts w:eastAsia="Times New Roman"/>
                <w:sz w:val="16"/>
                <w:szCs w:val="16"/>
                <w:lang w:eastAsia="es-CO"/>
              </w:rPr>
              <w:t xml:space="preserve">tder en exportaciones </w:t>
            </w:r>
            <w:r w:rsidRPr="005C3AA7">
              <w:rPr>
                <w:rFonts w:eastAsia="Times New Roman"/>
                <w:sz w:val="16"/>
                <w:szCs w:val="16"/>
                <w:lang w:eastAsia="es-CO"/>
              </w:rPr>
              <w:t xml:space="preserve"> Nacionales del cap.  (%)</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3,7</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4,1</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3,7</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2,9</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2,0</w:t>
            </w:r>
          </w:p>
        </w:tc>
        <w:tc>
          <w:tcPr>
            <w:tcW w:w="495"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1,8</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1058BA" w:rsidRDefault="00950EA8" w:rsidP="00950EA8">
            <w:pPr>
              <w:jc w:val="right"/>
              <w:rPr>
                <w:rFonts w:eastAsia="Times New Roman"/>
                <w:color w:val="000000"/>
                <w:sz w:val="16"/>
                <w:szCs w:val="16"/>
                <w:lang w:eastAsia="es-CO"/>
              </w:rPr>
            </w:pPr>
            <w:r w:rsidRPr="001058BA">
              <w:rPr>
                <w:rFonts w:eastAsia="Times New Roman"/>
                <w:color w:val="000000"/>
                <w:sz w:val="16"/>
                <w:szCs w:val="16"/>
                <w:lang w:eastAsia="es-CO"/>
              </w:rPr>
              <w:t> </w:t>
            </w:r>
          </w:p>
        </w:tc>
      </w:tr>
      <w:tr w:rsidR="00950EA8" w:rsidRPr="005C3AA7" w:rsidTr="00950EA8">
        <w:trPr>
          <w:trHeight w:val="237"/>
        </w:trPr>
        <w:tc>
          <w:tcPr>
            <w:tcW w:w="5000" w:type="pct"/>
            <w:gridSpan w:val="9"/>
            <w:tcBorders>
              <w:top w:val="nil"/>
              <w:left w:val="single" w:sz="4" w:space="0" w:color="auto"/>
              <w:bottom w:val="single" w:sz="4" w:space="0" w:color="auto"/>
              <w:right w:val="single" w:sz="4" w:space="0" w:color="auto"/>
            </w:tcBorders>
            <w:shd w:val="clear" w:color="000000" w:fill="FFFFFF"/>
            <w:vAlign w:val="bottom"/>
          </w:tcPr>
          <w:p w:rsidR="00950EA8" w:rsidRPr="0069026E" w:rsidRDefault="00950EA8" w:rsidP="00950EA8">
            <w:pPr>
              <w:rPr>
                <w:rFonts w:eastAsia="Times New Roman"/>
                <w:b/>
                <w:color w:val="000000"/>
                <w:sz w:val="20"/>
                <w:szCs w:val="20"/>
                <w:lang w:eastAsia="es-CO"/>
              </w:rPr>
            </w:pPr>
            <w:r w:rsidRPr="0069026E">
              <w:rPr>
                <w:rFonts w:eastAsia="Times New Roman"/>
                <w:b/>
                <w:color w:val="000000"/>
                <w:sz w:val="20"/>
                <w:szCs w:val="20"/>
                <w:lang w:eastAsia="es-CO"/>
              </w:rPr>
              <w:t>Comparación  con otros departamentos de Colombia</w:t>
            </w:r>
            <w:r>
              <w:rPr>
                <w:rFonts w:eastAsia="Times New Roman"/>
                <w:b/>
                <w:color w:val="000000"/>
                <w:sz w:val="20"/>
                <w:szCs w:val="20"/>
                <w:lang w:eastAsia="es-CO"/>
              </w:rPr>
              <w:t xml:space="preserve"> (Miles dólares Fob)</w:t>
            </w:r>
          </w:p>
        </w:tc>
      </w:tr>
      <w:tr w:rsidR="00950EA8" w:rsidRPr="005C3AA7" w:rsidTr="00950EA8">
        <w:trPr>
          <w:trHeight w:val="255"/>
        </w:trPr>
        <w:tc>
          <w:tcPr>
            <w:tcW w:w="98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950EA8" w:rsidRPr="00833556" w:rsidRDefault="00950EA8" w:rsidP="00950EA8">
            <w:pPr>
              <w:rPr>
                <w:rFonts w:eastAsia="Times New Roman"/>
                <w:color w:val="000000"/>
                <w:sz w:val="18"/>
                <w:szCs w:val="18"/>
                <w:lang w:eastAsia="es-CO"/>
              </w:rPr>
            </w:pPr>
            <w:r w:rsidRPr="00833556">
              <w:rPr>
                <w:rFonts w:eastAsia="Times New Roman"/>
                <w:color w:val="000000"/>
                <w:sz w:val="18"/>
                <w:szCs w:val="18"/>
                <w:lang w:eastAsia="es-CO"/>
              </w:rPr>
              <w:t>Antioquia</w:t>
            </w: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Valor</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358853</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368050</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317225</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186731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198324</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214693</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-40,2%</w:t>
            </w:r>
          </w:p>
        </w:tc>
      </w:tr>
      <w:tr w:rsidR="00950EA8" w:rsidRPr="005C3AA7" w:rsidTr="00950EA8">
        <w:trPr>
          <w:trHeight w:val="255"/>
        </w:trPr>
        <w:tc>
          <w:tcPr>
            <w:tcW w:w="985" w:type="pct"/>
            <w:vMerge/>
            <w:tcBorders>
              <w:top w:val="nil"/>
              <w:left w:val="single" w:sz="4" w:space="0" w:color="auto"/>
              <w:bottom w:val="single" w:sz="4" w:space="0" w:color="auto"/>
              <w:right w:val="single" w:sz="4" w:space="0" w:color="auto"/>
            </w:tcBorders>
            <w:vAlign w:val="center"/>
            <w:hideMark/>
          </w:tcPr>
          <w:p w:rsidR="00950EA8" w:rsidRPr="004759A4" w:rsidRDefault="00950EA8" w:rsidP="00950EA8">
            <w:pPr>
              <w:rPr>
                <w:rFonts w:eastAsia="Times New Roman"/>
                <w:color w:val="000000"/>
                <w:sz w:val="16"/>
                <w:szCs w:val="16"/>
                <w:lang w:eastAsia="es-CO"/>
              </w:rPr>
            </w:pP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 Part.</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65,2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54,4</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52,6</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57,6</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55,2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58,9</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 </w:t>
            </w:r>
          </w:p>
        </w:tc>
      </w:tr>
      <w:tr w:rsidR="00950EA8" w:rsidRPr="005C3AA7" w:rsidTr="00950EA8">
        <w:trPr>
          <w:trHeight w:val="255"/>
        </w:trPr>
        <w:tc>
          <w:tcPr>
            <w:tcW w:w="98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950EA8" w:rsidRPr="00833556" w:rsidRDefault="00950EA8" w:rsidP="00950EA8">
            <w:pPr>
              <w:rPr>
                <w:rFonts w:eastAsia="Times New Roman"/>
                <w:color w:val="000000"/>
                <w:sz w:val="18"/>
                <w:szCs w:val="18"/>
                <w:lang w:eastAsia="es-CO"/>
              </w:rPr>
            </w:pPr>
            <w:r w:rsidRPr="00833556">
              <w:rPr>
                <w:rFonts w:eastAsia="Times New Roman"/>
                <w:color w:val="000000"/>
                <w:sz w:val="18"/>
                <w:szCs w:val="18"/>
                <w:lang w:eastAsia="es-CO"/>
              </w:rPr>
              <w:t>Bogotá</w:t>
            </w: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Valor</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57889</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87496</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94799</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58522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64798</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67756</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17,0%</w:t>
            </w:r>
          </w:p>
        </w:tc>
      </w:tr>
      <w:tr w:rsidR="00950EA8" w:rsidRPr="005C3AA7" w:rsidTr="00950EA8">
        <w:trPr>
          <w:trHeight w:val="255"/>
        </w:trPr>
        <w:tc>
          <w:tcPr>
            <w:tcW w:w="985" w:type="pct"/>
            <w:vMerge/>
            <w:tcBorders>
              <w:top w:val="nil"/>
              <w:left w:val="single" w:sz="4" w:space="0" w:color="auto"/>
              <w:bottom w:val="single" w:sz="4" w:space="0" w:color="auto"/>
              <w:right w:val="single" w:sz="4" w:space="0" w:color="auto"/>
            </w:tcBorders>
            <w:vAlign w:val="center"/>
            <w:hideMark/>
          </w:tcPr>
          <w:p w:rsidR="00950EA8" w:rsidRPr="004759A4" w:rsidRDefault="00950EA8" w:rsidP="00950EA8">
            <w:pPr>
              <w:rPr>
                <w:rFonts w:eastAsia="Times New Roman"/>
                <w:color w:val="000000"/>
                <w:sz w:val="16"/>
                <w:szCs w:val="16"/>
                <w:lang w:eastAsia="es-CO"/>
              </w:rPr>
            </w:pP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 Part.</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10,5</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12,9</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15,7</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18,0</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18,0</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18,6</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 </w:t>
            </w:r>
          </w:p>
        </w:tc>
      </w:tr>
      <w:tr w:rsidR="00950EA8" w:rsidRPr="005C3AA7" w:rsidTr="00950EA8">
        <w:trPr>
          <w:trHeight w:val="255"/>
        </w:trPr>
        <w:tc>
          <w:tcPr>
            <w:tcW w:w="98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950EA8" w:rsidRPr="00833556" w:rsidRDefault="00950EA8" w:rsidP="00950EA8">
            <w:pPr>
              <w:rPr>
                <w:rFonts w:eastAsia="Times New Roman"/>
                <w:color w:val="000000"/>
                <w:sz w:val="18"/>
                <w:szCs w:val="18"/>
                <w:lang w:eastAsia="es-CO"/>
              </w:rPr>
            </w:pPr>
            <w:r w:rsidRPr="00833556">
              <w:rPr>
                <w:rFonts w:eastAsia="Times New Roman"/>
                <w:color w:val="000000"/>
                <w:sz w:val="18"/>
                <w:szCs w:val="18"/>
                <w:lang w:eastAsia="es-CO"/>
              </w:rPr>
              <w:lastRenderedPageBreak/>
              <w:t>Valle</w:t>
            </w: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Valor</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45612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55308</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50582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34689</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42899</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46966</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3,0%</w:t>
            </w:r>
          </w:p>
        </w:tc>
      </w:tr>
      <w:tr w:rsidR="00950EA8" w:rsidRPr="005C3AA7" w:rsidTr="00950EA8">
        <w:trPr>
          <w:trHeight w:val="255"/>
        </w:trPr>
        <w:tc>
          <w:tcPr>
            <w:tcW w:w="985" w:type="pct"/>
            <w:vMerge/>
            <w:tcBorders>
              <w:top w:val="nil"/>
              <w:left w:val="single" w:sz="4" w:space="0" w:color="auto"/>
              <w:bottom w:val="single" w:sz="4" w:space="0" w:color="auto"/>
              <w:right w:val="single" w:sz="4" w:space="0" w:color="auto"/>
            </w:tcBorders>
            <w:vAlign w:val="center"/>
            <w:hideMark/>
          </w:tcPr>
          <w:p w:rsidR="00950EA8" w:rsidRPr="004759A4" w:rsidRDefault="00950EA8" w:rsidP="00950EA8">
            <w:pPr>
              <w:rPr>
                <w:rFonts w:eastAsia="Times New Roman"/>
                <w:color w:val="000000"/>
                <w:sz w:val="16"/>
                <w:szCs w:val="16"/>
                <w:lang w:eastAsia="es-CO"/>
              </w:rPr>
            </w:pP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 Part.</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8,3</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8,2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8,4</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10,7</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11,9</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12,9</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 </w:t>
            </w:r>
          </w:p>
        </w:tc>
      </w:tr>
      <w:tr w:rsidR="00950EA8" w:rsidRPr="005C3AA7" w:rsidTr="00950EA8">
        <w:trPr>
          <w:trHeight w:val="255"/>
        </w:trPr>
        <w:tc>
          <w:tcPr>
            <w:tcW w:w="98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950EA8" w:rsidRPr="00833556" w:rsidRDefault="00950EA8" w:rsidP="00950EA8">
            <w:pPr>
              <w:rPr>
                <w:rFonts w:eastAsia="Times New Roman"/>
                <w:color w:val="000000"/>
                <w:sz w:val="18"/>
                <w:szCs w:val="18"/>
                <w:lang w:eastAsia="es-CO"/>
              </w:rPr>
            </w:pPr>
            <w:r w:rsidRPr="00833556">
              <w:rPr>
                <w:rFonts w:eastAsia="Times New Roman"/>
                <w:color w:val="000000"/>
                <w:sz w:val="18"/>
                <w:szCs w:val="18"/>
                <w:lang w:eastAsia="es-CO"/>
              </w:rPr>
              <w:t>Atlántico</w:t>
            </w: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Valor</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12344</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24230</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18312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6892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23656</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2356</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-80,9%</w:t>
            </w:r>
          </w:p>
        </w:tc>
      </w:tr>
      <w:tr w:rsidR="00950EA8" w:rsidRPr="005C3AA7" w:rsidTr="00950EA8">
        <w:trPr>
          <w:trHeight w:val="255"/>
        </w:trPr>
        <w:tc>
          <w:tcPr>
            <w:tcW w:w="985" w:type="pct"/>
            <w:vMerge/>
            <w:tcBorders>
              <w:top w:val="nil"/>
              <w:left w:val="single" w:sz="4" w:space="0" w:color="auto"/>
              <w:bottom w:val="single" w:sz="4" w:space="0" w:color="auto"/>
              <w:right w:val="single" w:sz="4" w:space="0" w:color="auto"/>
            </w:tcBorders>
            <w:vAlign w:val="center"/>
            <w:hideMark/>
          </w:tcPr>
          <w:p w:rsidR="00950EA8" w:rsidRPr="004759A4" w:rsidRDefault="00950EA8" w:rsidP="00950EA8">
            <w:pPr>
              <w:rPr>
                <w:rFonts w:eastAsia="Times New Roman"/>
                <w:color w:val="000000"/>
                <w:sz w:val="16"/>
                <w:szCs w:val="16"/>
                <w:lang w:eastAsia="es-CO"/>
              </w:rPr>
            </w:pP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 Part.</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3,6</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3,0</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6,6</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0,6</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 </w:t>
            </w:r>
          </w:p>
        </w:tc>
      </w:tr>
      <w:tr w:rsidR="00950EA8" w:rsidRPr="005C3AA7" w:rsidTr="00950EA8">
        <w:trPr>
          <w:trHeight w:val="255"/>
        </w:trPr>
        <w:tc>
          <w:tcPr>
            <w:tcW w:w="98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950EA8" w:rsidRPr="00833556" w:rsidRDefault="00950EA8" w:rsidP="00950EA8">
            <w:pPr>
              <w:rPr>
                <w:rFonts w:eastAsia="Times New Roman"/>
                <w:color w:val="000000"/>
                <w:sz w:val="18"/>
                <w:szCs w:val="18"/>
                <w:lang w:eastAsia="es-CO"/>
              </w:rPr>
            </w:pPr>
            <w:r w:rsidRPr="00833556">
              <w:rPr>
                <w:rFonts w:eastAsia="Times New Roman"/>
                <w:color w:val="000000"/>
                <w:sz w:val="18"/>
                <w:szCs w:val="18"/>
                <w:lang w:eastAsia="es-CO"/>
              </w:rPr>
              <w:t>Risaralda</w:t>
            </w: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Valor</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23501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14675</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13612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11901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11141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17459</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-25,7%</w:t>
            </w:r>
          </w:p>
        </w:tc>
      </w:tr>
      <w:tr w:rsidR="00950EA8" w:rsidRPr="005C3AA7" w:rsidTr="00950EA8">
        <w:trPr>
          <w:trHeight w:val="255"/>
        </w:trPr>
        <w:tc>
          <w:tcPr>
            <w:tcW w:w="985" w:type="pct"/>
            <w:vMerge/>
            <w:tcBorders>
              <w:top w:val="nil"/>
              <w:left w:val="single" w:sz="4" w:space="0" w:color="auto"/>
              <w:bottom w:val="single" w:sz="4" w:space="0" w:color="auto"/>
              <w:right w:val="single" w:sz="4" w:space="0" w:color="auto"/>
            </w:tcBorders>
            <w:vAlign w:val="center"/>
            <w:hideMark/>
          </w:tcPr>
          <w:p w:rsidR="00950EA8" w:rsidRPr="005C3AA7" w:rsidRDefault="00950EA8" w:rsidP="00950EA8">
            <w:pPr>
              <w:rPr>
                <w:rFonts w:eastAsia="Times New Roman"/>
                <w:color w:val="000000"/>
                <w:sz w:val="16"/>
                <w:szCs w:val="16"/>
                <w:lang w:eastAsia="es-CO"/>
              </w:rPr>
            </w:pP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 Part.</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4,3</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2,3</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3,7</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4,8</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 </w:t>
            </w:r>
          </w:p>
        </w:tc>
      </w:tr>
      <w:tr w:rsidR="00950EA8" w:rsidRPr="005C3AA7" w:rsidTr="00950EA8">
        <w:trPr>
          <w:trHeight w:val="255"/>
        </w:trPr>
        <w:tc>
          <w:tcPr>
            <w:tcW w:w="98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950EA8" w:rsidRPr="00833556" w:rsidRDefault="00950EA8" w:rsidP="00950EA8">
            <w:pPr>
              <w:rPr>
                <w:rFonts w:eastAsia="Times New Roman"/>
                <w:color w:val="000000"/>
                <w:sz w:val="18"/>
                <w:szCs w:val="18"/>
                <w:lang w:eastAsia="es-CO"/>
              </w:rPr>
            </w:pPr>
            <w:r w:rsidRPr="00833556">
              <w:rPr>
                <w:rFonts w:eastAsia="Times New Roman"/>
                <w:color w:val="000000"/>
                <w:sz w:val="18"/>
                <w:szCs w:val="18"/>
                <w:lang w:eastAsia="es-CO"/>
              </w:rPr>
              <w:t>Santander</w:t>
            </w: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Valor</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20455</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27531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22245</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9474</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7031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6440</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Pr>
                <w:rFonts w:eastAsia="Times New Roman"/>
                <w:color w:val="000000"/>
                <w:sz w:val="16"/>
                <w:szCs w:val="16"/>
                <w:lang w:eastAsia="es-CO"/>
              </w:rPr>
              <w:t>62,5%</w:t>
            </w:r>
            <w:r w:rsidRPr="003F207D">
              <w:rPr>
                <w:rFonts w:eastAsia="Times New Roman"/>
                <w:color w:val="000000"/>
                <w:sz w:val="16"/>
                <w:szCs w:val="16"/>
                <w:lang w:eastAsia="es-CO"/>
              </w:rPr>
              <w:t> </w:t>
            </w:r>
          </w:p>
        </w:tc>
      </w:tr>
      <w:tr w:rsidR="00950EA8" w:rsidRPr="005C3AA7" w:rsidTr="00950EA8">
        <w:trPr>
          <w:trHeight w:val="255"/>
        </w:trPr>
        <w:tc>
          <w:tcPr>
            <w:tcW w:w="985" w:type="pct"/>
            <w:vMerge/>
            <w:tcBorders>
              <w:top w:val="nil"/>
              <w:left w:val="single" w:sz="4" w:space="0" w:color="auto"/>
              <w:bottom w:val="single" w:sz="4" w:space="0" w:color="auto"/>
              <w:right w:val="single" w:sz="4" w:space="0" w:color="auto"/>
            </w:tcBorders>
            <w:vAlign w:val="center"/>
            <w:hideMark/>
          </w:tcPr>
          <w:p w:rsidR="00950EA8" w:rsidRPr="005C3AA7" w:rsidRDefault="00950EA8" w:rsidP="00950EA8">
            <w:pPr>
              <w:rPr>
                <w:rFonts w:eastAsia="Times New Roman"/>
                <w:color w:val="000000"/>
                <w:sz w:val="16"/>
                <w:szCs w:val="16"/>
                <w:lang w:eastAsia="es-CO"/>
              </w:rPr>
            </w:pP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 Part.</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3,7</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3,7</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2,9</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2,0</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1,8</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 </w:t>
            </w:r>
          </w:p>
        </w:tc>
      </w:tr>
      <w:tr w:rsidR="00950EA8" w:rsidRPr="005C3AA7" w:rsidTr="00950EA8">
        <w:trPr>
          <w:trHeight w:val="330"/>
        </w:trPr>
        <w:tc>
          <w:tcPr>
            <w:tcW w:w="5000" w:type="pct"/>
            <w:gridSpan w:val="9"/>
            <w:tcBorders>
              <w:top w:val="single" w:sz="8" w:space="0" w:color="auto"/>
              <w:left w:val="single" w:sz="8" w:space="0" w:color="auto"/>
              <w:bottom w:val="single" w:sz="8" w:space="0" w:color="auto"/>
              <w:right w:val="single" w:sz="8" w:space="0" w:color="auto"/>
            </w:tcBorders>
            <w:shd w:val="clear" w:color="auto" w:fill="auto"/>
            <w:noWrap/>
            <w:vAlign w:val="center"/>
          </w:tcPr>
          <w:p w:rsidR="00950EA8" w:rsidRPr="0069026E" w:rsidRDefault="00950EA8" w:rsidP="00950EA8">
            <w:pPr>
              <w:rPr>
                <w:rFonts w:eastAsia="Times New Roman"/>
                <w:b/>
                <w:color w:val="000000"/>
                <w:sz w:val="20"/>
                <w:szCs w:val="20"/>
                <w:lang w:eastAsia="es-CO"/>
              </w:rPr>
            </w:pPr>
            <w:r w:rsidRPr="0069026E">
              <w:rPr>
                <w:rFonts w:eastAsia="Times New Roman"/>
                <w:b/>
                <w:color w:val="000000"/>
                <w:sz w:val="20"/>
                <w:szCs w:val="20"/>
                <w:lang w:eastAsia="es-CO"/>
              </w:rPr>
              <w:t>Promedio exportado por empresa</w:t>
            </w:r>
            <w:r>
              <w:rPr>
                <w:rFonts w:eastAsia="Times New Roman"/>
                <w:b/>
                <w:color w:val="000000"/>
                <w:sz w:val="20"/>
                <w:szCs w:val="20"/>
                <w:lang w:eastAsia="es-CO"/>
              </w:rPr>
              <w:t xml:space="preserve"> (Miles dólares Fob)</w:t>
            </w:r>
          </w:p>
        </w:tc>
      </w:tr>
      <w:tr w:rsidR="00950EA8" w:rsidRPr="005C3AA7" w:rsidTr="00950EA8">
        <w:trPr>
          <w:trHeight w:val="392"/>
        </w:trPr>
        <w:tc>
          <w:tcPr>
            <w:tcW w:w="1538" w:type="pct"/>
            <w:gridSpan w:val="2"/>
            <w:tcBorders>
              <w:top w:val="nil"/>
              <w:left w:val="single" w:sz="8" w:space="0" w:color="auto"/>
              <w:bottom w:val="single" w:sz="8" w:space="0" w:color="auto"/>
              <w:right w:val="single" w:sz="8" w:space="0" w:color="auto"/>
            </w:tcBorders>
            <w:shd w:val="clear" w:color="auto" w:fill="auto"/>
            <w:noWrap/>
            <w:vAlign w:val="center"/>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Número de empresas exportadoras</w:t>
            </w:r>
          </w:p>
        </w:tc>
        <w:tc>
          <w:tcPr>
            <w:tcW w:w="495" w:type="pct"/>
            <w:tcBorders>
              <w:top w:val="nil"/>
              <w:left w:val="nil"/>
              <w:bottom w:val="single" w:sz="8" w:space="0" w:color="auto"/>
              <w:right w:val="single" w:sz="8"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124</w:t>
            </w:r>
          </w:p>
        </w:tc>
        <w:tc>
          <w:tcPr>
            <w:tcW w:w="495" w:type="pct"/>
            <w:tcBorders>
              <w:top w:val="nil"/>
              <w:left w:val="nil"/>
              <w:bottom w:val="single" w:sz="8" w:space="0" w:color="auto"/>
              <w:right w:val="single" w:sz="8"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127</w:t>
            </w:r>
          </w:p>
        </w:tc>
        <w:tc>
          <w:tcPr>
            <w:tcW w:w="495" w:type="pct"/>
            <w:tcBorders>
              <w:top w:val="nil"/>
              <w:left w:val="nil"/>
              <w:bottom w:val="single" w:sz="8" w:space="0" w:color="auto"/>
              <w:right w:val="single" w:sz="8"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105</w:t>
            </w:r>
          </w:p>
        </w:tc>
        <w:tc>
          <w:tcPr>
            <w:tcW w:w="495" w:type="pct"/>
            <w:tcBorders>
              <w:top w:val="nil"/>
              <w:left w:val="nil"/>
              <w:bottom w:val="single" w:sz="8" w:space="0" w:color="auto"/>
              <w:right w:val="single" w:sz="8"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86</w:t>
            </w:r>
          </w:p>
        </w:tc>
        <w:tc>
          <w:tcPr>
            <w:tcW w:w="495" w:type="pct"/>
            <w:tcBorders>
              <w:top w:val="nil"/>
              <w:left w:val="nil"/>
              <w:bottom w:val="single" w:sz="8" w:space="0" w:color="auto"/>
              <w:right w:val="single" w:sz="8"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69</w:t>
            </w:r>
          </w:p>
        </w:tc>
        <w:tc>
          <w:tcPr>
            <w:tcW w:w="495" w:type="pct"/>
            <w:tcBorders>
              <w:top w:val="nil"/>
              <w:left w:val="nil"/>
              <w:bottom w:val="single" w:sz="8" w:space="0" w:color="auto"/>
              <w:right w:val="single" w:sz="8" w:space="0" w:color="auto"/>
            </w:tcBorders>
            <w:shd w:val="clear" w:color="auto" w:fill="auto"/>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63</w:t>
            </w:r>
          </w:p>
        </w:tc>
        <w:tc>
          <w:tcPr>
            <w:tcW w:w="491" w:type="pct"/>
            <w:tcBorders>
              <w:top w:val="nil"/>
              <w:left w:val="nil"/>
              <w:bottom w:val="single" w:sz="8" w:space="0" w:color="auto"/>
              <w:right w:val="single" w:sz="8"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-49,19%</w:t>
            </w:r>
          </w:p>
        </w:tc>
      </w:tr>
      <w:tr w:rsidR="00950EA8" w:rsidRPr="005C3AA7" w:rsidTr="00950EA8">
        <w:trPr>
          <w:trHeight w:val="270"/>
        </w:trPr>
        <w:tc>
          <w:tcPr>
            <w:tcW w:w="1538" w:type="pct"/>
            <w:gridSpan w:val="2"/>
            <w:tcBorders>
              <w:top w:val="nil"/>
              <w:left w:val="single" w:sz="8" w:space="0" w:color="auto"/>
              <w:bottom w:val="single" w:sz="8" w:space="0" w:color="auto"/>
              <w:right w:val="single" w:sz="8" w:space="0" w:color="auto"/>
            </w:tcBorders>
            <w:shd w:val="clear" w:color="auto" w:fill="auto"/>
            <w:noWrap/>
            <w:vAlign w:val="center"/>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 xml:space="preserve">Promedio por empresa </w:t>
            </w:r>
          </w:p>
        </w:tc>
        <w:tc>
          <w:tcPr>
            <w:tcW w:w="495" w:type="pct"/>
            <w:tcBorders>
              <w:top w:val="nil"/>
              <w:left w:val="nil"/>
              <w:bottom w:val="single" w:sz="8" w:space="0" w:color="auto"/>
              <w:right w:val="single" w:sz="8"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165,0</w:t>
            </w:r>
          </w:p>
        </w:tc>
        <w:tc>
          <w:tcPr>
            <w:tcW w:w="495" w:type="pct"/>
            <w:tcBorders>
              <w:top w:val="nil"/>
              <w:left w:val="nil"/>
              <w:bottom w:val="single" w:sz="8" w:space="0" w:color="auto"/>
              <w:right w:val="single" w:sz="8"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216,8</w:t>
            </w:r>
          </w:p>
        </w:tc>
        <w:tc>
          <w:tcPr>
            <w:tcW w:w="495" w:type="pct"/>
            <w:tcBorders>
              <w:top w:val="nil"/>
              <w:left w:val="nil"/>
              <w:bottom w:val="single" w:sz="8" w:space="0" w:color="auto"/>
              <w:right w:val="single" w:sz="8"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211,9</w:t>
            </w:r>
          </w:p>
        </w:tc>
        <w:tc>
          <w:tcPr>
            <w:tcW w:w="495" w:type="pct"/>
            <w:tcBorders>
              <w:top w:val="nil"/>
              <w:left w:val="nil"/>
              <w:bottom w:val="single" w:sz="8" w:space="0" w:color="auto"/>
              <w:right w:val="single" w:sz="8"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110,2</w:t>
            </w:r>
          </w:p>
        </w:tc>
        <w:tc>
          <w:tcPr>
            <w:tcW w:w="495" w:type="pct"/>
            <w:tcBorders>
              <w:top w:val="nil"/>
              <w:left w:val="nil"/>
              <w:bottom w:val="single" w:sz="8" w:space="0" w:color="auto"/>
              <w:right w:val="single" w:sz="8"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101,9</w:t>
            </w:r>
          </w:p>
        </w:tc>
        <w:tc>
          <w:tcPr>
            <w:tcW w:w="495" w:type="pct"/>
            <w:tcBorders>
              <w:top w:val="nil"/>
              <w:left w:val="nil"/>
              <w:bottom w:val="single" w:sz="8" w:space="0" w:color="auto"/>
              <w:right w:val="single" w:sz="8"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102,2</w:t>
            </w:r>
          </w:p>
        </w:tc>
        <w:tc>
          <w:tcPr>
            <w:tcW w:w="491" w:type="pct"/>
            <w:tcBorders>
              <w:top w:val="nil"/>
              <w:left w:val="nil"/>
              <w:bottom w:val="single" w:sz="8" w:space="0" w:color="auto"/>
              <w:right w:val="single" w:sz="8"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-38,03%</w:t>
            </w:r>
          </w:p>
        </w:tc>
      </w:tr>
      <w:tr w:rsidR="00950EA8" w:rsidRPr="005C3AA7" w:rsidTr="00950EA8">
        <w:trPr>
          <w:trHeight w:val="270"/>
        </w:trPr>
        <w:tc>
          <w:tcPr>
            <w:tcW w:w="5000" w:type="pct"/>
            <w:gridSpan w:val="9"/>
            <w:tcBorders>
              <w:top w:val="nil"/>
              <w:left w:val="single" w:sz="8" w:space="0" w:color="auto"/>
              <w:bottom w:val="single" w:sz="8" w:space="0" w:color="auto"/>
              <w:right w:val="single" w:sz="8" w:space="0" w:color="auto"/>
            </w:tcBorders>
            <w:shd w:val="clear" w:color="auto" w:fill="auto"/>
            <w:noWrap/>
            <w:vAlign w:val="center"/>
          </w:tcPr>
          <w:p w:rsidR="00950EA8" w:rsidRPr="0069026E" w:rsidRDefault="00950EA8" w:rsidP="00950EA8">
            <w:pPr>
              <w:rPr>
                <w:rFonts w:eastAsia="Times New Roman"/>
                <w:b/>
                <w:color w:val="000000"/>
                <w:sz w:val="20"/>
                <w:szCs w:val="20"/>
                <w:lang w:eastAsia="es-CO"/>
              </w:rPr>
            </w:pPr>
            <w:r w:rsidRPr="0069026E">
              <w:rPr>
                <w:rFonts w:eastAsia="Times New Roman"/>
                <w:b/>
                <w:color w:val="000000"/>
                <w:sz w:val="20"/>
                <w:szCs w:val="20"/>
                <w:lang w:eastAsia="es-CO"/>
              </w:rPr>
              <w:t>Principales destinos</w:t>
            </w:r>
            <w:r>
              <w:rPr>
                <w:rFonts w:eastAsia="Times New Roman"/>
                <w:b/>
                <w:color w:val="000000"/>
                <w:sz w:val="20"/>
                <w:szCs w:val="20"/>
                <w:lang w:eastAsia="es-CO"/>
              </w:rPr>
              <w:t xml:space="preserve"> (Miles dólares Fob)</w:t>
            </w:r>
          </w:p>
        </w:tc>
      </w:tr>
      <w:tr w:rsidR="00950EA8" w:rsidRPr="005C3AA7" w:rsidTr="00950EA8">
        <w:trPr>
          <w:trHeight w:val="300"/>
        </w:trPr>
        <w:tc>
          <w:tcPr>
            <w:tcW w:w="98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950EA8" w:rsidRPr="00E419A1" w:rsidRDefault="00950EA8" w:rsidP="00950EA8">
            <w:pPr>
              <w:rPr>
                <w:rFonts w:eastAsia="Times New Roman"/>
                <w:color w:val="000000"/>
                <w:sz w:val="18"/>
                <w:szCs w:val="18"/>
                <w:lang w:eastAsia="es-CO"/>
              </w:rPr>
            </w:pPr>
            <w:r w:rsidRPr="00E419A1">
              <w:rPr>
                <w:rFonts w:eastAsia="Times New Roman"/>
                <w:color w:val="000000"/>
                <w:sz w:val="18"/>
                <w:szCs w:val="18"/>
                <w:lang w:eastAsia="es-CO"/>
              </w:rPr>
              <w:t>Estados Unidos</w:t>
            </w: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Valor</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10802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9013</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7162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3806</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2888</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1874</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-82,7%</w:t>
            </w:r>
          </w:p>
        </w:tc>
      </w:tr>
      <w:tr w:rsidR="00950EA8" w:rsidRPr="005C3AA7" w:rsidTr="00950EA8">
        <w:trPr>
          <w:trHeight w:val="255"/>
        </w:trPr>
        <w:tc>
          <w:tcPr>
            <w:tcW w:w="985" w:type="pct"/>
            <w:vMerge/>
            <w:tcBorders>
              <w:top w:val="nil"/>
              <w:left w:val="single" w:sz="4" w:space="0" w:color="auto"/>
              <w:bottom w:val="single" w:sz="4" w:space="0" w:color="auto"/>
              <w:right w:val="single" w:sz="4" w:space="0" w:color="auto"/>
            </w:tcBorders>
            <w:vAlign w:val="center"/>
            <w:hideMark/>
          </w:tcPr>
          <w:p w:rsidR="00950EA8" w:rsidRPr="005C3AA7" w:rsidRDefault="00950EA8" w:rsidP="00950EA8">
            <w:pPr>
              <w:rPr>
                <w:rFonts w:eastAsia="Times New Roman"/>
                <w:color w:val="000000"/>
                <w:sz w:val="16"/>
                <w:szCs w:val="16"/>
                <w:lang w:eastAsia="es-CO"/>
              </w:rPr>
            </w:pP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 Part.</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52,8</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32,7</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32,2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40,2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41,1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29,1</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 </w:t>
            </w:r>
          </w:p>
        </w:tc>
      </w:tr>
      <w:tr w:rsidR="00950EA8" w:rsidRPr="005C3AA7" w:rsidTr="00950EA8">
        <w:trPr>
          <w:trHeight w:val="255"/>
        </w:trPr>
        <w:tc>
          <w:tcPr>
            <w:tcW w:w="98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950EA8" w:rsidRPr="00E419A1" w:rsidRDefault="00950EA8" w:rsidP="00950EA8">
            <w:pPr>
              <w:rPr>
                <w:rFonts w:eastAsia="Times New Roman"/>
                <w:color w:val="000000"/>
                <w:sz w:val="18"/>
                <w:szCs w:val="18"/>
                <w:lang w:eastAsia="es-CO"/>
              </w:rPr>
            </w:pPr>
            <w:r w:rsidRPr="00E419A1">
              <w:rPr>
                <w:rFonts w:eastAsia="Times New Roman"/>
                <w:color w:val="000000"/>
                <w:sz w:val="18"/>
                <w:szCs w:val="18"/>
                <w:lang w:eastAsia="es-CO"/>
              </w:rPr>
              <w:t>Ecuador</w:t>
            </w: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Valor</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1425</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1384</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1143</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621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1113</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1172</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-17,7%</w:t>
            </w:r>
          </w:p>
        </w:tc>
      </w:tr>
      <w:tr w:rsidR="00950EA8" w:rsidRPr="005C3AA7" w:rsidTr="00950EA8">
        <w:trPr>
          <w:trHeight w:val="255"/>
        </w:trPr>
        <w:tc>
          <w:tcPr>
            <w:tcW w:w="985" w:type="pct"/>
            <w:vMerge/>
            <w:tcBorders>
              <w:top w:val="nil"/>
              <w:left w:val="single" w:sz="4" w:space="0" w:color="auto"/>
              <w:bottom w:val="single" w:sz="4" w:space="0" w:color="auto"/>
              <w:right w:val="single" w:sz="4" w:space="0" w:color="auto"/>
            </w:tcBorders>
            <w:vAlign w:val="center"/>
            <w:hideMark/>
          </w:tcPr>
          <w:p w:rsidR="00950EA8" w:rsidRPr="005C3AA7" w:rsidRDefault="00950EA8" w:rsidP="00950EA8">
            <w:pPr>
              <w:rPr>
                <w:rFonts w:eastAsia="Times New Roman"/>
                <w:color w:val="000000"/>
                <w:sz w:val="16"/>
                <w:szCs w:val="16"/>
                <w:lang w:eastAsia="es-CO"/>
              </w:rPr>
            </w:pP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 Part.</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7,0</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5,0</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5,1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6,6</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15,8</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18,2</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 </w:t>
            </w:r>
          </w:p>
        </w:tc>
      </w:tr>
      <w:tr w:rsidR="00950EA8" w:rsidRPr="005C3AA7" w:rsidTr="00950EA8">
        <w:trPr>
          <w:trHeight w:val="255"/>
        </w:trPr>
        <w:tc>
          <w:tcPr>
            <w:tcW w:w="985"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950EA8" w:rsidRPr="00E419A1" w:rsidRDefault="00950EA8" w:rsidP="00950EA8">
            <w:pPr>
              <w:rPr>
                <w:rFonts w:eastAsia="Times New Roman"/>
                <w:color w:val="000000"/>
                <w:sz w:val="18"/>
                <w:szCs w:val="18"/>
                <w:lang w:eastAsia="es-CO"/>
              </w:rPr>
            </w:pPr>
            <w:r w:rsidRPr="00E419A1">
              <w:rPr>
                <w:rFonts w:eastAsia="Times New Roman"/>
                <w:color w:val="000000"/>
                <w:sz w:val="18"/>
                <w:szCs w:val="18"/>
                <w:lang w:eastAsia="es-CO"/>
              </w:rPr>
              <w:t>Venezuela</w:t>
            </w: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 </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3493</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13198</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10481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2595</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709</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1719</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-50,8%</w:t>
            </w:r>
          </w:p>
        </w:tc>
      </w:tr>
      <w:tr w:rsidR="00950EA8" w:rsidRPr="005C3AA7" w:rsidTr="00950EA8">
        <w:trPr>
          <w:trHeight w:val="255"/>
        </w:trPr>
        <w:tc>
          <w:tcPr>
            <w:tcW w:w="985" w:type="pct"/>
            <w:vMerge/>
            <w:tcBorders>
              <w:top w:val="nil"/>
              <w:left w:val="single" w:sz="4" w:space="0" w:color="auto"/>
              <w:bottom w:val="single" w:sz="4" w:space="0" w:color="000000"/>
              <w:right w:val="single" w:sz="4" w:space="0" w:color="auto"/>
            </w:tcBorders>
            <w:vAlign w:val="center"/>
            <w:hideMark/>
          </w:tcPr>
          <w:p w:rsidR="00950EA8" w:rsidRPr="005C3AA7" w:rsidRDefault="00950EA8" w:rsidP="00950EA8">
            <w:pPr>
              <w:rPr>
                <w:rFonts w:eastAsia="Times New Roman"/>
                <w:color w:val="000000"/>
                <w:sz w:val="16"/>
                <w:szCs w:val="16"/>
                <w:lang w:eastAsia="es-CO"/>
              </w:rPr>
            </w:pP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 </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17,1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47,9</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47,1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27,4</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10,1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26,7</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 </w:t>
            </w:r>
          </w:p>
        </w:tc>
      </w:tr>
      <w:tr w:rsidR="00950EA8" w:rsidRPr="005C3AA7" w:rsidTr="00950EA8">
        <w:trPr>
          <w:trHeight w:val="255"/>
        </w:trPr>
        <w:tc>
          <w:tcPr>
            <w:tcW w:w="98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950EA8" w:rsidRPr="00E419A1" w:rsidRDefault="00950EA8" w:rsidP="00950EA8">
            <w:pPr>
              <w:rPr>
                <w:rFonts w:eastAsia="Times New Roman"/>
                <w:color w:val="000000"/>
                <w:sz w:val="18"/>
                <w:szCs w:val="18"/>
                <w:lang w:eastAsia="es-CO"/>
              </w:rPr>
            </w:pPr>
            <w:r w:rsidRPr="00E419A1">
              <w:rPr>
                <w:rFonts w:eastAsia="Times New Roman"/>
                <w:color w:val="000000"/>
                <w:sz w:val="18"/>
                <w:szCs w:val="18"/>
                <w:lang w:eastAsia="es-CO"/>
              </w:rPr>
              <w:t>Puerto Rico</w:t>
            </w: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Valor</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1481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963</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678</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803</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589</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382</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-74,2%</w:t>
            </w:r>
          </w:p>
        </w:tc>
      </w:tr>
      <w:tr w:rsidR="00950EA8" w:rsidRPr="005C3AA7" w:rsidTr="00950EA8">
        <w:trPr>
          <w:trHeight w:val="255"/>
        </w:trPr>
        <w:tc>
          <w:tcPr>
            <w:tcW w:w="985" w:type="pct"/>
            <w:vMerge/>
            <w:tcBorders>
              <w:top w:val="nil"/>
              <w:left w:val="single" w:sz="4" w:space="0" w:color="auto"/>
              <w:bottom w:val="single" w:sz="4" w:space="0" w:color="auto"/>
              <w:right w:val="single" w:sz="4" w:space="0" w:color="auto"/>
            </w:tcBorders>
            <w:vAlign w:val="center"/>
            <w:hideMark/>
          </w:tcPr>
          <w:p w:rsidR="00950EA8" w:rsidRPr="005C3AA7" w:rsidRDefault="00950EA8" w:rsidP="00950EA8">
            <w:pPr>
              <w:rPr>
                <w:rFonts w:eastAsia="Times New Roman"/>
                <w:color w:val="000000"/>
                <w:sz w:val="16"/>
                <w:szCs w:val="16"/>
                <w:lang w:eastAsia="es-CO"/>
              </w:rPr>
            </w:pP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 Part.</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7,2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3,5</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3,0</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8,5</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8,4</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5,9</w:t>
            </w:r>
          </w:p>
        </w:tc>
        <w:tc>
          <w:tcPr>
            <w:tcW w:w="491" w:type="pct"/>
            <w:tcBorders>
              <w:top w:val="nil"/>
              <w:left w:val="nil"/>
              <w:bottom w:val="single" w:sz="4" w:space="0" w:color="auto"/>
              <w:right w:val="single" w:sz="4" w:space="0" w:color="auto"/>
            </w:tcBorders>
            <w:shd w:val="clear" w:color="auto" w:fill="auto"/>
            <w:noWrap/>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 </w:t>
            </w:r>
          </w:p>
        </w:tc>
      </w:tr>
      <w:tr w:rsidR="00950EA8" w:rsidRPr="005C3AA7" w:rsidTr="00950EA8">
        <w:trPr>
          <w:trHeight w:val="190"/>
        </w:trPr>
        <w:tc>
          <w:tcPr>
            <w:tcW w:w="5000" w:type="pct"/>
            <w:gridSpan w:val="9"/>
            <w:tcBorders>
              <w:top w:val="single" w:sz="4" w:space="0" w:color="auto"/>
              <w:left w:val="single" w:sz="4" w:space="0" w:color="auto"/>
              <w:bottom w:val="single" w:sz="4" w:space="0" w:color="auto"/>
              <w:right w:val="single" w:sz="4" w:space="0" w:color="auto"/>
            </w:tcBorders>
            <w:shd w:val="clear" w:color="auto" w:fill="auto"/>
            <w:vAlign w:val="bottom"/>
          </w:tcPr>
          <w:p w:rsidR="00950EA8" w:rsidRPr="0069026E" w:rsidRDefault="00950EA8" w:rsidP="00950EA8">
            <w:pPr>
              <w:rPr>
                <w:rFonts w:eastAsia="Times New Roman"/>
                <w:b/>
                <w:color w:val="000000"/>
                <w:sz w:val="20"/>
                <w:szCs w:val="20"/>
                <w:lang w:eastAsia="es-CO"/>
              </w:rPr>
            </w:pPr>
            <w:r>
              <w:rPr>
                <w:rFonts w:eastAsia="Times New Roman"/>
                <w:b/>
                <w:color w:val="000000"/>
                <w:sz w:val="20"/>
                <w:szCs w:val="20"/>
                <w:lang w:eastAsia="es-CO"/>
              </w:rPr>
              <w:t>Principales Partidas arancelarias (Miles dólares Fob)</w:t>
            </w:r>
          </w:p>
        </w:tc>
      </w:tr>
      <w:tr w:rsidR="00950EA8" w:rsidRPr="005C3AA7" w:rsidTr="00950EA8">
        <w:trPr>
          <w:trHeight w:val="236"/>
        </w:trPr>
        <w:tc>
          <w:tcPr>
            <w:tcW w:w="985" w:type="pct"/>
            <w:vMerge w:val="restart"/>
            <w:tcBorders>
              <w:top w:val="nil"/>
              <w:left w:val="single" w:sz="4" w:space="0" w:color="auto"/>
              <w:bottom w:val="single" w:sz="4" w:space="0" w:color="000000"/>
              <w:right w:val="single" w:sz="4" w:space="0" w:color="auto"/>
            </w:tcBorders>
            <w:shd w:val="clear" w:color="auto" w:fill="auto"/>
            <w:vAlign w:val="bottom"/>
            <w:hideMark/>
          </w:tcPr>
          <w:p w:rsidR="00950EA8" w:rsidRPr="005C3AA7" w:rsidRDefault="00950EA8" w:rsidP="00950EA8">
            <w:pPr>
              <w:rPr>
                <w:rFonts w:eastAsia="Times New Roman"/>
                <w:color w:val="000000"/>
                <w:sz w:val="16"/>
                <w:szCs w:val="16"/>
                <w:lang w:eastAsia="es-CO"/>
              </w:rPr>
            </w:pPr>
            <w:r>
              <w:rPr>
                <w:rFonts w:eastAsia="Times New Roman"/>
                <w:color w:val="000000"/>
                <w:sz w:val="16"/>
                <w:szCs w:val="16"/>
                <w:lang w:eastAsia="es-CO"/>
              </w:rPr>
              <w:t>6209</w:t>
            </w: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Valor</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7462</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8258</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7629</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3874</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3357</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2918</w:t>
            </w:r>
          </w:p>
        </w:tc>
        <w:tc>
          <w:tcPr>
            <w:tcW w:w="491" w:type="pct"/>
            <w:tcBorders>
              <w:top w:val="nil"/>
              <w:left w:val="nil"/>
              <w:bottom w:val="single" w:sz="4" w:space="0" w:color="auto"/>
              <w:right w:val="single" w:sz="4" w:space="0" w:color="auto"/>
            </w:tcBorders>
            <w:shd w:val="clear" w:color="auto" w:fill="auto"/>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-60,9%</w:t>
            </w:r>
          </w:p>
        </w:tc>
      </w:tr>
      <w:tr w:rsidR="00950EA8" w:rsidRPr="005C3AA7" w:rsidTr="00950EA8">
        <w:trPr>
          <w:trHeight w:val="255"/>
        </w:trPr>
        <w:tc>
          <w:tcPr>
            <w:tcW w:w="985" w:type="pct"/>
            <w:vMerge/>
            <w:tcBorders>
              <w:top w:val="nil"/>
              <w:left w:val="single" w:sz="4" w:space="0" w:color="auto"/>
              <w:bottom w:val="single" w:sz="4" w:space="0" w:color="000000"/>
              <w:right w:val="single" w:sz="4" w:space="0" w:color="auto"/>
            </w:tcBorders>
            <w:vAlign w:val="center"/>
            <w:hideMark/>
          </w:tcPr>
          <w:p w:rsidR="00950EA8" w:rsidRPr="005C3AA7" w:rsidRDefault="00950EA8" w:rsidP="00950EA8">
            <w:pPr>
              <w:rPr>
                <w:rFonts w:eastAsia="Times New Roman"/>
                <w:color w:val="000000"/>
                <w:sz w:val="16"/>
                <w:szCs w:val="16"/>
                <w:lang w:eastAsia="es-CO"/>
              </w:rPr>
            </w:pP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 Part.</w:t>
            </w:r>
          </w:p>
        </w:tc>
        <w:tc>
          <w:tcPr>
            <w:tcW w:w="495" w:type="pct"/>
            <w:tcBorders>
              <w:top w:val="nil"/>
              <w:left w:val="nil"/>
              <w:bottom w:val="single" w:sz="4" w:space="0" w:color="auto"/>
              <w:right w:val="single" w:sz="4" w:space="0" w:color="auto"/>
            </w:tcBorders>
            <w:shd w:val="clear" w:color="auto" w:fill="auto"/>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36,5%</w:t>
            </w:r>
          </w:p>
        </w:tc>
        <w:tc>
          <w:tcPr>
            <w:tcW w:w="495" w:type="pct"/>
            <w:tcBorders>
              <w:top w:val="nil"/>
              <w:left w:val="nil"/>
              <w:bottom w:val="single" w:sz="4" w:space="0" w:color="auto"/>
              <w:right w:val="single" w:sz="4" w:space="0" w:color="auto"/>
            </w:tcBorders>
            <w:shd w:val="clear" w:color="auto" w:fill="auto"/>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30,0%</w:t>
            </w:r>
          </w:p>
        </w:tc>
        <w:tc>
          <w:tcPr>
            <w:tcW w:w="495" w:type="pct"/>
            <w:tcBorders>
              <w:top w:val="nil"/>
              <w:left w:val="nil"/>
              <w:bottom w:val="single" w:sz="4" w:space="0" w:color="auto"/>
              <w:right w:val="single" w:sz="4" w:space="0" w:color="auto"/>
            </w:tcBorders>
            <w:shd w:val="clear" w:color="auto" w:fill="auto"/>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34,3%</w:t>
            </w:r>
          </w:p>
        </w:tc>
        <w:tc>
          <w:tcPr>
            <w:tcW w:w="495" w:type="pct"/>
            <w:tcBorders>
              <w:top w:val="nil"/>
              <w:left w:val="nil"/>
              <w:bottom w:val="single" w:sz="4" w:space="0" w:color="auto"/>
              <w:right w:val="single" w:sz="4" w:space="0" w:color="auto"/>
            </w:tcBorders>
            <w:shd w:val="clear" w:color="auto" w:fill="auto"/>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40,9%</w:t>
            </w:r>
          </w:p>
        </w:tc>
        <w:tc>
          <w:tcPr>
            <w:tcW w:w="495" w:type="pct"/>
            <w:tcBorders>
              <w:top w:val="nil"/>
              <w:left w:val="nil"/>
              <w:bottom w:val="single" w:sz="4" w:space="0" w:color="auto"/>
              <w:right w:val="single" w:sz="4" w:space="0" w:color="auto"/>
            </w:tcBorders>
            <w:shd w:val="clear" w:color="auto" w:fill="auto"/>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47,7%</w:t>
            </w:r>
          </w:p>
        </w:tc>
        <w:tc>
          <w:tcPr>
            <w:tcW w:w="495" w:type="pct"/>
            <w:tcBorders>
              <w:top w:val="nil"/>
              <w:left w:val="nil"/>
              <w:bottom w:val="single" w:sz="4" w:space="0" w:color="auto"/>
              <w:right w:val="single" w:sz="4" w:space="0" w:color="auto"/>
            </w:tcBorders>
            <w:shd w:val="clear" w:color="auto" w:fill="auto"/>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45,3%</w:t>
            </w:r>
          </w:p>
        </w:tc>
        <w:tc>
          <w:tcPr>
            <w:tcW w:w="491" w:type="pct"/>
            <w:tcBorders>
              <w:top w:val="nil"/>
              <w:left w:val="nil"/>
              <w:bottom w:val="single" w:sz="4" w:space="0" w:color="auto"/>
              <w:right w:val="single" w:sz="4" w:space="0" w:color="auto"/>
            </w:tcBorders>
            <w:shd w:val="clear" w:color="auto" w:fill="auto"/>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 </w:t>
            </w:r>
          </w:p>
        </w:tc>
      </w:tr>
      <w:tr w:rsidR="00950EA8" w:rsidRPr="005C3AA7" w:rsidTr="00950EA8">
        <w:trPr>
          <w:trHeight w:val="286"/>
        </w:trPr>
        <w:tc>
          <w:tcPr>
            <w:tcW w:w="985" w:type="pct"/>
            <w:vMerge w:val="restart"/>
            <w:tcBorders>
              <w:top w:val="nil"/>
              <w:left w:val="single" w:sz="4" w:space="0" w:color="auto"/>
              <w:bottom w:val="single" w:sz="4" w:space="0" w:color="000000"/>
              <w:right w:val="single" w:sz="4" w:space="0" w:color="auto"/>
            </w:tcBorders>
            <w:shd w:val="clear" w:color="auto" w:fill="auto"/>
            <w:vAlign w:val="bottom"/>
            <w:hideMark/>
          </w:tcPr>
          <w:p w:rsidR="00950EA8" w:rsidRPr="005C3AA7" w:rsidRDefault="00950EA8" w:rsidP="00950EA8">
            <w:pPr>
              <w:rPr>
                <w:rFonts w:eastAsia="Times New Roman"/>
                <w:color w:val="000000"/>
                <w:sz w:val="16"/>
                <w:szCs w:val="16"/>
                <w:lang w:eastAsia="es-CO"/>
              </w:rPr>
            </w:pPr>
            <w:r>
              <w:rPr>
                <w:rFonts w:eastAsia="Times New Roman"/>
                <w:color w:val="000000"/>
                <w:sz w:val="16"/>
                <w:szCs w:val="16"/>
                <w:lang w:eastAsia="es-CO"/>
              </w:rPr>
              <w:t>6204</w:t>
            </w: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Valor</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10170</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13231</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9983</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4209</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2984</w:t>
            </w:r>
          </w:p>
        </w:tc>
        <w:tc>
          <w:tcPr>
            <w:tcW w:w="495" w:type="pct"/>
            <w:tcBorders>
              <w:top w:val="nil"/>
              <w:left w:val="nil"/>
              <w:bottom w:val="single" w:sz="4" w:space="0" w:color="auto"/>
              <w:right w:val="single" w:sz="4" w:space="0" w:color="auto"/>
            </w:tcBorders>
            <w:shd w:val="clear" w:color="auto" w:fill="auto"/>
            <w:noWrap/>
            <w:vAlign w:val="bottom"/>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2474</w:t>
            </w:r>
          </w:p>
        </w:tc>
        <w:tc>
          <w:tcPr>
            <w:tcW w:w="491" w:type="pct"/>
            <w:tcBorders>
              <w:top w:val="nil"/>
              <w:left w:val="nil"/>
              <w:bottom w:val="single" w:sz="4" w:space="0" w:color="auto"/>
              <w:right w:val="single" w:sz="4" w:space="0" w:color="auto"/>
            </w:tcBorders>
            <w:shd w:val="clear" w:color="auto" w:fill="auto"/>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-75,7%</w:t>
            </w:r>
          </w:p>
        </w:tc>
      </w:tr>
      <w:tr w:rsidR="00950EA8" w:rsidRPr="005C3AA7" w:rsidTr="00950EA8">
        <w:trPr>
          <w:trHeight w:val="255"/>
        </w:trPr>
        <w:tc>
          <w:tcPr>
            <w:tcW w:w="985" w:type="pct"/>
            <w:vMerge/>
            <w:tcBorders>
              <w:top w:val="nil"/>
              <w:left w:val="single" w:sz="4" w:space="0" w:color="auto"/>
              <w:bottom w:val="single" w:sz="4" w:space="0" w:color="000000"/>
              <w:right w:val="single" w:sz="4" w:space="0" w:color="auto"/>
            </w:tcBorders>
            <w:vAlign w:val="center"/>
            <w:hideMark/>
          </w:tcPr>
          <w:p w:rsidR="00950EA8" w:rsidRPr="005C3AA7" w:rsidRDefault="00950EA8" w:rsidP="00950EA8">
            <w:pPr>
              <w:rPr>
                <w:rFonts w:eastAsia="Times New Roman"/>
                <w:color w:val="000000"/>
                <w:sz w:val="16"/>
                <w:szCs w:val="16"/>
                <w:lang w:eastAsia="es-CO"/>
              </w:rPr>
            </w:pPr>
          </w:p>
        </w:tc>
        <w:tc>
          <w:tcPr>
            <w:tcW w:w="554" w:type="pct"/>
            <w:tcBorders>
              <w:top w:val="nil"/>
              <w:left w:val="nil"/>
              <w:bottom w:val="single" w:sz="4" w:space="0" w:color="auto"/>
              <w:right w:val="single" w:sz="4" w:space="0" w:color="auto"/>
            </w:tcBorders>
            <w:shd w:val="clear" w:color="auto" w:fill="auto"/>
            <w:noWrap/>
            <w:vAlign w:val="bottom"/>
            <w:hideMark/>
          </w:tcPr>
          <w:p w:rsidR="00950EA8" w:rsidRPr="005C3AA7" w:rsidRDefault="00950EA8" w:rsidP="00950EA8">
            <w:pPr>
              <w:rPr>
                <w:rFonts w:eastAsia="Times New Roman"/>
                <w:color w:val="000000"/>
                <w:sz w:val="16"/>
                <w:szCs w:val="16"/>
                <w:lang w:eastAsia="es-CO"/>
              </w:rPr>
            </w:pPr>
            <w:r w:rsidRPr="005C3AA7">
              <w:rPr>
                <w:rFonts w:eastAsia="Times New Roman"/>
                <w:color w:val="000000"/>
                <w:sz w:val="16"/>
                <w:szCs w:val="16"/>
                <w:lang w:eastAsia="es-CO"/>
              </w:rPr>
              <w:t>% Part.</w:t>
            </w:r>
          </w:p>
        </w:tc>
        <w:tc>
          <w:tcPr>
            <w:tcW w:w="495" w:type="pct"/>
            <w:tcBorders>
              <w:top w:val="nil"/>
              <w:left w:val="nil"/>
              <w:bottom w:val="single" w:sz="4" w:space="0" w:color="auto"/>
              <w:right w:val="single" w:sz="4" w:space="0" w:color="auto"/>
            </w:tcBorders>
            <w:shd w:val="clear" w:color="auto" w:fill="auto"/>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49,7%</w:t>
            </w:r>
          </w:p>
        </w:tc>
        <w:tc>
          <w:tcPr>
            <w:tcW w:w="495" w:type="pct"/>
            <w:tcBorders>
              <w:top w:val="nil"/>
              <w:left w:val="nil"/>
              <w:bottom w:val="single" w:sz="4" w:space="0" w:color="auto"/>
              <w:right w:val="single" w:sz="4" w:space="0" w:color="auto"/>
            </w:tcBorders>
            <w:shd w:val="clear" w:color="auto" w:fill="auto"/>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48,1%</w:t>
            </w:r>
          </w:p>
        </w:tc>
        <w:tc>
          <w:tcPr>
            <w:tcW w:w="495" w:type="pct"/>
            <w:tcBorders>
              <w:top w:val="nil"/>
              <w:left w:val="nil"/>
              <w:bottom w:val="single" w:sz="4" w:space="0" w:color="auto"/>
              <w:right w:val="single" w:sz="4" w:space="0" w:color="auto"/>
            </w:tcBorders>
            <w:shd w:val="clear" w:color="auto" w:fill="auto"/>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44,9%</w:t>
            </w:r>
          </w:p>
        </w:tc>
        <w:tc>
          <w:tcPr>
            <w:tcW w:w="495" w:type="pct"/>
            <w:tcBorders>
              <w:top w:val="nil"/>
              <w:left w:val="nil"/>
              <w:bottom w:val="single" w:sz="4" w:space="0" w:color="auto"/>
              <w:right w:val="single" w:sz="4" w:space="0" w:color="auto"/>
            </w:tcBorders>
            <w:shd w:val="clear" w:color="auto" w:fill="auto"/>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44,4%</w:t>
            </w:r>
          </w:p>
        </w:tc>
        <w:tc>
          <w:tcPr>
            <w:tcW w:w="495" w:type="pct"/>
            <w:tcBorders>
              <w:top w:val="nil"/>
              <w:left w:val="nil"/>
              <w:bottom w:val="single" w:sz="4" w:space="0" w:color="auto"/>
              <w:right w:val="single" w:sz="4" w:space="0" w:color="auto"/>
            </w:tcBorders>
            <w:shd w:val="clear" w:color="auto" w:fill="auto"/>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42,4%</w:t>
            </w:r>
          </w:p>
        </w:tc>
        <w:tc>
          <w:tcPr>
            <w:tcW w:w="495" w:type="pct"/>
            <w:tcBorders>
              <w:top w:val="nil"/>
              <w:left w:val="nil"/>
              <w:bottom w:val="single" w:sz="4" w:space="0" w:color="auto"/>
              <w:right w:val="single" w:sz="4" w:space="0" w:color="auto"/>
            </w:tcBorders>
            <w:shd w:val="clear" w:color="auto" w:fill="auto"/>
            <w:vAlign w:val="center"/>
            <w:hideMark/>
          </w:tcPr>
          <w:p w:rsidR="00950EA8" w:rsidRPr="003F207D" w:rsidRDefault="00950EA8" w:rsidP="00950EA8">
            <w:pPr>
              <w:jc w:val="right"/>
              <w:rPr>
                <w:rFonts w:eastAsia="Times New Roman"/>
                <w:color w:val="000000"/>
                <w:sz w:val="16"/>
                <w:szCs w:val="16"/>
                <w:lang w:eastAsia="es-CO"/>
              </w:rPr>
            </w:pPr>
            <w:r w:rsidRPr="003F207D">
              <w:rPr>
                <w:rFonts w:eastAsia="Times New Roman"/>
                <w:color w:val="000000"/>
                <w:sz w:val="16"/>
                <w:szCs w:val="16"/>
                <w:lang w:eastAsia="es-CO"/>
              </w:rPr>
              <w:t>38,4%</w:t>
            </w:r>
          </w:p>
        </w:tc>
        <w:tc>
          <w:tcPr>
            <w:tcW w:w="491" w:type="pct"/>
            <w:tcBorders>
              <w:top w:val="nil"/>
              <w:left w:val="nil"/>
              <w:bottom w:val="single" w:sz="4" w:space="0" w:color="auto"/>
              <w:right w:val="single" w:sz="4" w:space="0" w:color="auto"/>
            </w:tcBorders>
            <w:shd w:val="clear" w:color="auto" w:fill="auto"/>
            <w:vAlign w:val="bottom"/>
            <w:hideMark/>
          </w:tcPr>
          <w:p w:rsidR="00950EA8" w:rsidRPr="003F207D" w:rsidRDefault="00950EA8" w:rsidP="00950EA8">
            <w:pPr>
              <w:rPr>
                <w:rFonts w:eastAsia="Times New Roman"/>
                <w:color w:val="000000"/>
                <w:sz w:val="16"/>
                <w:szCs w:val="16"/>
                <w:lang w:eastAsia="es-CO"/>
              </w:rPr>
            </w:pPr>
            <w:r w:rsidRPr="003F207D">
              <w:rPr>
                <w:rFonts w:eastAsia="Times New Roman"/>
                <w:color w:val="000000"/>
                <w:sz w:val="16"/>
                <w:szCs w:val="16"/>
                <w:lang w:eastAsia="es-CO"/>
              </w:rPr>
              <w:t> </w:t>
            </w:r>
          </w:p>
        </w:tc>
      </w:tr>
    </w:tbl>
    <w:p w:rsidR="00950EA8" w:rsidRDefault="0096159F" w:rsidP="0096159F">
      <w:pPr>
        <w:pStyle w:val="Prrafodelista"/>
        <w:ind w:left="0"/>
      </w:pPr>
      <w:r>
        <w:t>Elaboración propia</w:t>
      </w:r>
    </w:p>
    <w:p w:rsidR="00950EA8" w:rsidRDefault="00950EA8" w:rsidP="00653B39">
      <w:pPr>
        <w:pStyle w:val="Prrafodelista"/>
      </w:pPr>
    </w:p>
    <w:p w:rsidR="00950EA8" w:rsidRDefault="00653B39" w:rsidP="00653B39">
      <w:r w:rsidRPr="00AB7177">
        <w:rPr>
          <w:b/>
        </w:rPr>
        <w:t>Tabla 3</w:t>
      </w:r>
      <w:r w:rsidR="00950EA8">
        <w:t xml:space="preserve">. </w:t>
      </w:r>
      <w:r>
        <w:t xml:space="preserve">Interpretación de la </w:t>
      </w:r>
      <w:r w:rsidR="00950EA8">
        <w:t>Matriz de valoración del Posicionamiento comercial del capítulo 62 en Santander.</w:t>
      </w:r>
    </w:p>
    <w:tbl>
      <w:tblPr>
        <w:tblStyle w:val="Tablaconcuadrcula"/>
        <w:tblW w:w="0" w:type="auto"/>
        <w:tblLook w:val="04A0" w:firstRow="1" w:lastRow="0" w:firstColumn="1" w:lastColumn="0" w:noHBand="0" w:noVBand="1"/>
      </w:tblPr>
      <w:tblGrid>
        <w:gridCol w:w="2518"/>
        <w:gridCol w:w="6460"/>
      </w:tblGrid>
      <w:tr w:rsidR="00950EA8" w:rsidRPr="0026036A" w:rsidTr="00950EA8">
        <w:tc>
          <w:tcPr>
            <w:tcW w:w="2518" w:type="dxa"/>
          </w:tcPr>
          <w:p w:rsidR="00950EA8" w:rsidRPr="0026036A" w:rsidRDefault="00950EA8" w:rsidP="00950EA8">
            <w:pPr>
              <w:rPr>
                <w:sz w:val="18"/>
                <w:szCs w:val="18"/>
              </w:rPr>
            </w:pPr>
            <w:r w:rsidRPr="0026036A">
              <w:rPr>
                <w:sz w:val="18"/>
                <w:szCs w:val="18"/>
              </w:rPr>
              <w:t xml:space="preserve">Desempeño de las exportaciones de Santander en el capítulo </w:t>
            </w:r>
          </w:p>
        </w:tc>
        <w:tc>
          <w:tcPr>
            <w:tcW w:w="6460" w:type="dxa"/>
          </w:tcPr>
          <w:p w:rsidR="00950EA8" w:rsidRPr="0026036A" w:rsidRDefault="00950EA8" w:rsidP="00950EA8">
            <w:pPr>
              <w:rPr>
                <w:sz w:val="18"/>
                <w:szCs w:val="18"/>
              </w:rPr>
            </w:pPr>
            <w:r w:rsidRPr="0026036A">
              <w:rPr>
                <w:sz w:val="18"/>
                <w:szCs w:val="18"/>
              </w:rPr>
              <w:t xml:space="preserve">El valor de las exportaciones </w:t>
            </w:r>
            <w:r>
              <w:rPr>
                <w:sz w:val="18"/>
                <w:szCs w:val="18"/>
              </w:rPr>
              <w:t>fue de 6,4 millones de dólares</w:t>
            </w:r>
            <w:r w:rsidRPr="0026036A">
              <w:rPr>
                <w:sz w:val="18"/>
                <w:szCs w:val="18"/>
              </w:rPr>
              <w:t xml:space="preserve"> en el año 2011.</w:t>
            </w:r>
          </w:p>
          <w:p w:rsidR="00950EA8" w:rsidRPr="0026036A" w:rsidRDefault="00950EA8" w:rsidP="00950EA8">
            <w:pPr>
              <w:rPr>
                <w:sz w:val="18"/>
                <w:szCs w:val="18"/>
              </w:rPr>
            </w:pPr>
            <w:r>
              <w:rPr>
                <w:sz w:val="18"/>
                <w:szCs w:val="18"/>
              </w:rPr>
              <w:t xml:space="preserve">Disminución de las exportaciones en 68,5% </w:t>
            </w:r>
            <w:r w:rsidRPr="0026036A">
              <w:rPr>
                <w:sz w:val="18"/>
                <w:szCs w:val="18"/>
              </w:rPr>
              <w:t xml:space="preserve">entre 2006 </w:t>
            </w:r>
            <w:r>
              <w:rPr>
                <w:sz w:val="18"/>
                <w:szCs w:val="18"/>
              </w:rPr>
              <w:t>–</w:t>
            </w:r>
            <w:r w:rsidRPr="0026036A">
              <w:rPr>
                <w:sz w:val="18"/>
                <w:szCs w:val="18"/>
              </w:rPr>
              <w:t xml:space="preserve"> 2011</w:t>
            </w:r>
          </w:p>
        </w:tc>
      </w:tr>
      <w:tr w:rsidR="00950EA8" w:rsidRPr="0026036A" w:rsidTr="00950EA8">
        <w:tc>
          <w:tcPr>
            <w:tcW w:w="2518" w:type="dxa"/>
          </w:tcPr>
          <w:p w:rsidR="00950EA8" w:rsidRPr="0026036A" w:rsidRDefault="00950EA8" w:rsidP="00950EA8">
            <w:pPr>
              <w:rPr>
                <w:sz w:val="18"/>
                <w:szCs w:val="18"/>
              </w:rPr>
            </w:pPr>
            <w:r w:rsidRPr="0026036A">
              <w:rPr>
                <w:sz w:val="18"/>
                <w:szCs w:val="18"/>
              </w:rPr>
              <w:t xml:space="preserve">Desempeño de las importaciones de Santander en el capítulo </w:t>
            </w:r>
          </w:p>
        </w:tc>
        <w:tc>
          <w:tcPr>
            <w:tcW w:w="6460" w:type="dxa"/>
          </w:tcPr>
          <w:p w:rsidR="00950EA8" w:rsidRDefault="00950EA8" w:rsidP="00950EA8">
            <w:pPr>
              <w:rPr>
                <w:sz w:val="18"/>
                <w:szCs w:val="18"/>
              </w:rPr>
            </w:pPr>
            <w:r w:rsidRPr="0026036A">
              <w:rPr>
                <w:sz w:val="18"/>
                <w:szCs w:val="18"/>
              </w:rPr>
              <w:t xml:space="preserve">El valor de las importaciones es relativamente bajo, </w:t>
            </w:r>
            <w:r>
              <w:rPr>
                <w:sz w:val="18"/>
                <w:szCs w:val="18"/>
              </w:rPr>
              <w:t>0,94</w:t>
            </w:r>
            <w:r w:rsidRPr="0026036A">
              <w:rPr>
                <w:sz w:val="18"/>
                <w:szCs w:val="18"/>
              </w:rPr>
              <w:t xml:space="preserve"> millones de dólares en el año 2011</w:t>
            </w:r>
            <w:r>
              <w:rPr>
                <w:sz w:val="18"/>
                <w:szCs w:val="18"/>
              </w:rPr>
              <w:t>.</w:t>
            </w:r>
          </w:p>
          <w:p w:rsidR="00950EA8" w:rsidRPr="0026036A" w:rsidRDefault="00950EA8" w:rsidP="00950EA8">
            <w:pPr>
              <w:rPr>
                <w:sz w:val="18"/>
                <w:szCs w:val="18"/>
              </w:rPr>
            </w:pPr>
            <w:r>
              <w:rPr>
                <w:sz w:val="18"/>
                <w:szCs w:val="18"/>
              </w:rPr>
              <w:t>Aumento de 43,5% en las importaciones entre 2006 - 2011</w:t>
            </w:r>
          </w:p>
          <w:p w:rsidR="00950EA8" w:rsidRPr="0026036A" w:rsidRDefault="00950EA8" w:rsidP="00950EA8">
            <w:pPr>
              <w:rPr>
                <w:sz w:val="18"/>
                <w:szCs w:val="18"/>
              </w:rPr>
            </w:pPr>
            <w:r w:rsidRPr="0026036A">
              <w:rPr>
                <w:sz w:val="18"/>
                <w:szCs w:val="18"/>
              </w:rPr>
              <w:t>Crecimiento de 15</w:t>
            </w:r>
            <w:r>
              <w:rPr>
                <w:sz w:val="18"/>
                <w:szCs w:val="18"/>
              </w:rPr>
              <w:t>6</w:t>
            </w:r>
            <w:r w:rsidRPr="0026036A">
              <w:rPr>
                <w:sz w:val="18"/>
                <w:szCs w:val="18"/>
              </w:rPr>
              <w:t xml:space="preserve">% entre el 2006 </w:t>
            </w:r>
            <w:r>
              <w:rPr>
                <w:sz w:val="18"/>
                <w:szCs w:val="18"/>
              </w:rPr>
              <w:t>–</w:t>
            </w:r>
            <w:r w:rsidRPr="0026036A">
              <w:rPr>
                <w:sz w:val="18"/>
                <w:szCs w:val="18"/>
              </w:rPr>
              <w:t xml:space="preserve"> 2011</w:t>
            </w:r>
          </w:p>
        </w:tc>
      </w:tr>
      <w:tr w:rsidR="00950EA8" w:rsidRPr="0026036A" w:rsidTr="00950EA8">
        <w:tc>
          <w:tcPr>
            <w:tcW w:w="2518" w:type="dxa"/>
          </w:tcPr>
          <w:p w:rsidR="00950EA8" w:rsidRPr="0026036A" w:rsidRDefault="00950EA8" w:rsidP="00950EA8">
            <w:pPr>
              <w:rPr>
                <w:sz w:val="18"/>
                <w:szCs w:val="18"/>
              </w:rPr>
            </w:pPr>
            <w:r w:rsidRPr="0026036A">
              <w:rPr>
                <w:sz w:val="18"/>
                <w:szCs w:val="18"/>
              </w:rPr>
              <w:t xml:space="preserve">Balanza comercial </w:t>
            </w:r>
          </w:p>
          <w:p w:rsidR="00950EA8" w:rsidRPr="0026036A" w:rsidRDefault="00950EA8" w:rsidP="00950EA8">
            <w:pPr>
              <w:rPr>
                <w:sz w:val="18"/>
                <w:szCs w:val="18"/>
              </w:rPr>
            </w:pPr>
          </w:p>
        </w:tc>
        <w:tc>
          <w:tcPr>
            <w:tcW w:w="6460" w:type="dxa"/>
          </w:tcPr>
          <w:p w:rsidR="00950EA8" w:rsidRDefault="00950EA8" w:rsidP="00950EA8">
            <w:pPr>
              <w:rPr>
                <w:sz w:val="18"/>
                <w:szCs w:val="18"/>
              </w:rPr>
            </w:pPr>
            <w:r w:rsidRPr="0026036A">
              <w:rPr>
                <w:sz w:val="18"/>
                <w:szCs w:val="18"/>
              </w:rPr>
              <w:t xml:space="preserve">Balanza comercial </w:t>
            </w:r>
            <w:r>
              <w:rPr>
                <w:sz w:val="18"/>
                <w:szCs w:val="18"/>
              </w:rPr>
              <w:t xml:space="preserve">positiva con tendencia a la disminución. </w:t>
            </w:r>
          </w:p>
          <w:p w:rsidR="00950EA8" w:rsidRPr="0026036A" w:rsidRDefault="00950EA8" w:rsidP="00950EA8">
            <w:pPr>
              <w:rPr>
                <w:sz w:val="18"/>
                <w:szCs w:val="18"/>
              </w:rPr>
            </w:pPr>
            <w:r>
              <w:rPr>
                <w:sz w:val="18"/>
                <w:szCs w:val="18"/>
              </w:rPr>
              <w:t>Entre el 2006 – 2011 disminuyó 72,2%.</w:t>
            </w:r>
          </w:p>
        </w:tc>
      </w:tr>
      <w:tr w:rsidR="00950EA8" w:rsidRPr="0026036A" w:rsidTr="00950EA8">
        <w:tc>
          <w:tcPr>
            <w:tcW w:w="2518" w:type="dxa"/>
          </w:tcPr>
          <w:p w:rsidR="00950EA8" w:rsidRPr="0026036A" w:rsidRDefault="00950EA8" w:rsidP="00950EA8">
            <w:pPr>
              <w:rPr>
                <w:sz w:val="18"/>
                <w:szCs w:val="18"/>
              </w:rPr>
            </w:pPr>
            <w:r w:rsidRPr="0026036A">
              <w:rPr>
                <w:sz w:val="18"/>
                <w:szCs w:val="18"/>
              </w:rPr>
              <w:t>Relación EXPORT./IMPORT.</w:t>
            </w:r>
          </w:p>
          <w:p w:rsidR="00950EA8" w:rsidRPr="0026036A" w:rsidRDefault="00950EA8" w:rsidP="00950EA8">
            <w:pPr>
              <w:rPr>
                <w:sz w:val="18"/>
                <w:szCs w:val="18"/>
              </w:rPr>
            </w:pPr>
          </w:p>
        </w:tc>
        <w:tc>
          <w:tcPr>
            <w:tcW w:w="6460" w:type="dxa"/>
          </w:tcPr>
          <w:p w:rsidR="00950EA8" w:rsidRPr="0026036A" w:rsidRDefault="00950EA8" w:rsidP="00950EA8">
            <w:pPr>
              <w:rPr>
                <w:sz w:val="18"/>
                <w:szCs w:val="18"/>
              </w:rPr>
            </w:pPr>
            <w:r>
              <w:rPr>
                <w:sz w:val="18"/>
                <w:szCs w:val="18"/>
              </w:rPr>
              <w:t xml:space="preserve">El ritmo de las importaciones es mayor que el ritmo de las exportaciones. </w:t>
            </w:r>
          </w:p>
          <w:p w:rsidR="00950EA8" w:rsidRPr="0026036A" w:rsidRDefault="00950EA8" w:rsidP="00950EA8">
            <w:pPr>
              <w:rPr>
                <w:sz w:val="18"/>
                <w:szCs w:val="18"/>
              </w:rPr>
            </w:pPr>
            <w:r>
              <w:rPr>
                <w:sz w:val="18"/>
                <w:szCs w:val="18"/>
              </w:rPr>
              <w:t>Por tanto, se pasó de una relación de 31 veces mas exportaciones que importaciones en el año 2006, a una relación de 6,8 en el 2011.</w:t>
            </w:r>
          </w:p>
        </w:tc>
      </w:tr>
      <w:tr w:rsidR="00950EA8" w:rsidRPr="0026036A" w:rsidTr="00950EA8">
        <w:tc>
          <w:tcPr>
            <w:tcW w:w="2518" w:type="dxa"/>
          </w:tcPr>
          <w:p w:rsidR="00950EA8" w:rsidRPr="0026036A" w:rsidRDefault="00950EA8" w:rsidP="00950EA8">
            <w:pPr>
              <w:rPr>
                <w:sz w:val="18"/>
                <w:szCs w:val="18"/>
              </w:rPr>
            </w:pPr>
            <w:r w:rsidRPr="0026036A">
              <w:rPr>
                <w:sz w:val="18"/>
                <w:szCs w:val="18"/>
              </w:rPr>
              <w:t>Posición frente a las exportaciones de Santander</w:t>
            </w:r>
          </w:p>
        </w:tc>
        <w:tc>
          <w:tcPr>
            <w:tcW w:w="6460" w:type="dxa"/>
          </w:tcPr>
          <w:p w:rsidR="00950EA8" w:rsidRPr="0026036A" w:rsidRDefault="00950EA8" w:rsidP="00950EA8">
            <w:pPr>
              <w:rPr>
                <w:sz w:val="18"/>
                <w:szCs w:val="18"/>
              </w:rPr>
            </w:pPr>
            <w:r w:rsidRPr="0026036A">
              <w:rPr>
                <w:sz w:val="18"/>
                <w:szCs w:val="18"/>
              </w:rPr>
              <w:t xml:space="preserve">El sector participó con el </w:t>
            </w:r>
            <w:r>
              <w:rPr>
                <w:sz w:val="18"/>
                <w:szCs w:val="18"/>
              </w:rPr>
              <w:t>1,0%</w:t>
            </w:r>
            <w:r w:rsidRPr="0026036A">
              <w:rPr>
                <w:sz w:val="18"/>
                <w:szCs w:val="18"/>
              </w:rPr>
              <w:t xml:space="preserve"> de las exportaciones del departamento en el año 2011.</w:t>
            </w:r>
          </w:p>
          <w:p w:rsidR="00950EA8" w:rsidRPr="0026036A" w:rsidRDefault="00950EA8" w:rsidP="00950EA8">
            <w:pPr>
              <w:rPr>
                <w:sz w:val="18"/>
                <w:szCs w:val="18"/>
              </w:rPr>
            </w:pPr>
            <w:r w:rsidRPr="0026036A">
              <w:rPr>
                <w:sz w:val="18"/>
                <w:szCs w:val="18"/>
              </w:rPr>
              <w:t xml:space="preserve">La participación del capítulo en las exportaciones departamentales presentó </w:t>
            </w:r>
            <w:r>
              <w:rPr>
                <w:sz w:val="18"/>
                <w:szCs w:val="18"/>
              </w:rPr>
              <w:t>disminución;  pasó de 7,3</w:t>
            </w:r>
            <w:r w:rsidRPr="0026036A">
              <w:rPr>
                <w:sz w:val="18"/>
                <w:szCs w:val="18"/>
              </w:rPr>
              <w:t xml:space="preserve">% en el 2006 a </w:t>
            </w:r>
            <w:r>
              <w:rPr>
                <w:sz w:val="18"/>
                <w:szCs w:val="18"/>
              </w:rPr>
              <w:t>1,0</w:t>
            </w:r>
            <w:r w:rsidRPr="0026036A">
              <w:rPr>
                <w:sz w:val="18"/>
                <w:szCs w:val="18"/>
              </w:rPr>
              <w:t>% en el 2011</w:t>
            </w:r>
          </w:p>
          <w:p w:rsidR="00950EA8" w:rsidRPr="0026036A" w:rsidRDefault="00950EA8" w:rsidP="00950EA8">
            <w:pPr>
              <w:rPr>
                <w:sz w:val="18"/>
                <w:szCs w:val="18"/>
              </w:rPr>
            </w:pPr>
            <w:r>
              <w:rPr>
                <w:sz w:val="18"/>
                <w:szCs w:val="18"/>
              </w:rPr>
              <w:t>Mientras que las exportaciones totales del departamento aumentaron, las exportaciones del capítulo 62 disminuyeron entre 2006 – 2011.</w:t>
            </w:r>
          </w:p>
        </w:tc>
      </w:tr>
      <w:tr w:rsidR="00950EA8" w:rsidRPr="0026036A" w:rsidTr="00950EA8">
        <w:tc>
          <w:tcPr>
            <w:tcW w:w="2518" w:type="dxa"/>
          </w:tcPr>
          <w:p w:rsidR="00950EA8" w:rsidRPr="0026036A" w:rsidRDefault="00950EA8" w:rsidP="00950EA8">
            <w:pPr>
              <w:rPr>
                <w:sz w:val="18"/>
                <w:szCs w:val="18"/>
              </w:rPr>
            </w:pPr>
            <w:r w:rsidRPr="0026036A">
              <w:rPr>
                <w:sz w:val="18"/>
                <w:szCs w:val="18"/>
              </w:rPr>
              <w:t>Posición frente a las exportaciones nacionales del capítulo</w:t>
            </w:r>
          </w:p>
        </w:tc>
        <w:tc>
          <w:tcPr>
            <w:tcW w:w="6460" w:type="dxa"/>
          </w:tcPr>
          <w:p w:rsidR="00950EA8" w:rsidRDefault="00950EA8" w:rsidP="00950EA8">
            <w:pPr>
              <w:rPr>
                <w:sz w:val="18"/>
                <w:szCs w:val="18"/>
              </w:rPr>
            </w:pPr>
            <w:r w:rsidRPr="0026036A">
              <w:rPr>
                <w:sz w:val="18"/>
                <w:szCs w:val="18"/>
              </w:rPr>
              <w:t xml:space="preserve">Muy baja participación, en las exportaciones nacionales del capítulo, solo del </w:t>
            </w:r>
            <w:r>
              <w:rPr>
                <w:sz w:val="18"/>
                <w:szCs w:val="18"/>
              </w:rPr>
              <w:t>1,8</w:t>
            </w:r>
            <w:r w:rsidRPr="0026036A">
              <w:rPr>
                <w:sz w:val="18"/>
                <w:szCs w:val="18"/>
              </w:rPr>
              <w:t>% en el año 2011.</w:t>
            </w:r>
          </w:p>
          <w:p w:rsidR="00950EA8" w:rsidRPr="0026036A" w:rsidRDefault="00950EA8" w:rsidP="00950EA8">
            <w:pPr>
              <w:rPr>
                <w:sz w:val="18"/>
                <w:szCs w:val="18"/>
              </w:rPr>
            </w:pPr>
            <w:r>
              <w:rPr>
                <w:sz w:val="18"/>
                <w:szCs w:val="18"/>
              </w:rPr>
              <w:t>En el año 2006 el sector participó con el 3,7% de las exportaciones.</w:t>
            </w:r>
          </w:p>
          <w:p w:rsidR="00950EA8" w:rsidRPr="0026036A" w:rsidRDefault="00950EA8" w:rsidP="00950EA8">
            <w:pPr>
              <w:rPr>
                <w:sz w:val="18"/>
                <w:szCs w:val="18"/>
              </w:rPr>
            </w:pPr>
            <w:r w:rsidRPr="0026036A">
              <w:rPr>
                <w:sz w:val="18"/>
                <w:szCs w:val="18"/>
              </w:rPr>
              <w:t xml:space="preserve">A nivel nacional las exportaciones del capítulo 27 </w:t>
            </w:r>
            <w:r>
              <w:rPr>
                <w:sz w:val="18"/>
                <w:szCs w:val="18"/>
              </w:rPr>
              <w:t xml:space="preserve">disminuyeron </w:t>
            </w:r>
            <w:r w:rsidRPr="0026036A">
              <w:rPr>
                <w:sz w:val="18"/>
                <w:szCs w:val="18"/>
              </w:rPr>
              <w:t xml:space="preserve"> </w:t>
            </w:r>
            <w:r>
              <w:rPr>
                <w:sz w:val="18"/>
                <w:szCs w:val="18"/>
              </w:rPr>
              <w:t>33,8</w:t>
            </w:r>
            <w:r w:rsidRPr="0026036A">
              <w:rPr>
                <w:sz w:val="18"/>
                <w:szCs w:val="18"/>
              </w:rPr>
              <w:t xml:space="preserve">% entre 2006 – 2011; </w:t>
            </w:r>
            <w:r>
              <w:rPr>
                <w:sz w:val="18"/>
                <w:szCs w:val="18"/>
              </w:rPr>
              <w:t xml:space="preserve">frente a una disminución del </w:t>
            </w:r>
            <w:r w:rsidRPr="0026036A">
              <w:rPr>
                <w:sz w:val="18"/>
                <w:szCs w:val="18"/>
              </w:rPr>
              <w:t xml:space="preserve">sector en Santander </w:t>
            </w:r>
            <w:r>
              <w:rPr>
                <w:sz w:val="18"/>
                <w:szCs w:val="18"/>
              </w:rPr>
              <w:t>de 68,5%</w:t>
            </w:r>
            <w:r w:rsidRPr="0026036A">
              <w:rPr>
                <w:sz w:val="18"/>
                <w:szCs w:val="18"/>
              </w:rPr>
              <w:t>.</w:t>
            </w:r>
          </w:p>
        </w:tc>
      </w:tr>
      <w:tr w:rsidR="00950EA8" w:rsidRPr="0026036A" w:rsidTr="00950EA8">
        <w:tc>
          <w:tcPr>
            <w:tcW w:w="2518" w:type="dxa"/>
          </w:tcPr>
          <w:p w:rsidR="00950EA8" w:rsidRPr="0026036A" w:rsidRDefault="00950EA8" w:rsidP="00950EA8">
            <w:pPr>
              <w:rPr>
                <w:sz w:val="18"/>
                <w:szCs w:val="18"/>
              </w:rPr>
            </w:pPr>
            <w:r w:rsidRPr="0026036A">
              <w:rPr>
                <w:sz w:val="18"/>
                <w:szCs w:val="18"/>
              </w:rPr>
              <w:lastRenderedPageBreak/>
              <w:t>Posición frente a otras regiones de Colombia</w:t>
            </w:r>
          </w:p>
        </w:tc>
        <w:tc>
          <w:tcPr>
            <w:tcW w:w="6460" w:type="dxa"/>
          </w:tcPr>
          <w:p w:rsidR="00950EA8" w:rsidRDefault="00950EA8" w:rsidP="00950EA8">
            <w:pPr>
              <w:rPr>
                <w:sz w:val="18"/>
                <w:szCs w:val="18"/>
              </w:rPr>
            </w:pPr>
            <w:r w:rsidRPr="0026036A">
              <w:rPr>
                <w:sz w:val="18"/>
                <w:szCs w:val="18"/>
              </w:rPr>
              <w:t xml:space="preserve">Las principales regiones de Colombia exportadoras del capítulo </w:t>
            </w:r>
            <w:r>
              <w:rPr>
                <w:sz w:val="18"/>
                <w:szCs w:val="18"/>
              </w:rPr>
              <w:t>Antioquia, Bogotá y Valle.</w:t>
            </w:r>
          </w:p>
          <w:p w:rsidR="00950EA8" w:rsidRDefault="00950EA8" w:rsidP="00950EA8">
            <w:pPr>
              <w:rPr>
                <w:sz w:val="18"/>
                <w:szCs w:val="18"/>
              </w:rPr>
            </w:pPr>
            <w:r>
              <w:rPr>
                <w:sz w:val="18"/>
                <w:szCs w:val="18"/>
              </w:rPr>
              <w:t>Antioquia</w:t>
            </w:r>
            <w:r w:rsidRPr="0026036A">
              <w:rPr>
                <w:sz w:val="18"/>
                <w:szCs w:val="18"/>
              </w:rPr>
              <w:t xml:space="preserve">: </w:t>
            </w:r>
            <w:r>
              <w:rPr>
                <w:sz w:val="18"/>
                <w:szCs w:val="18"/>
              </w:rPr>
              <w:t>58,9</w:t>
            </w:r>
            <w:r w:rsidRPr="0026036A">
              <w:rPr>
                <w:sz w:val="18"/>
                <w:szCs w:val="18"/>
              </w:rPr>
              <w:t xml:space="preserve">% en 2011.  </w:t>
            </w:r>
            <w:r>
              <w:rPr>
                <w:sz w:val="18"/>
                <w:szCs w:val="18"/>
              </w:rPr>
              <w:t>Disminución de 40%</w:t>
            </w:r>
            <w:r w:rsidRPr="0026036A">
              <w:rPr>
                <w:sz w:val="18"/>
                <w:szCs w:val="18"/>
              </w:rPr>
              <w:t xml:space="preserve"> entre 2006 – 2011</w:t>
            </w:r>
          </w:p>
          <w:p w:rsidR="00950EA8" w:rsidRPr="0026036A" w:rsidRDefault="00950EA8" w:rsidP="00950EA8">
            <w:pPr>
              <w:rPr>
                <w:sz w:val="18"/>
                <w:szCs w:val="18"/>
              </w:rPr>
            </w:pPr>
            <w:r>
              <w:rPr>
                <w:sz w:val="18"/>
                <w:szCs w:val="18"/>
              </w:rPr>
              <w:t>Bogotá: 18,6% e 2011.  Aumento del 17% entre 2006 - 2011</w:t>
            </w:r>
          </w:p>
          <w:p w:rsidR="00950EA8" w:rsidRPr="0026036A" w:rsidRDefault="00950EA8" w:rsidP="00950EA8">
            <w:pPr>
              <w:rPr>
                <w:sz w:val="18"/>
                <w:szCs w:val="18"/>
              </w:rPr>
            </w:pPr>
            <w:r>
              <w:rPr>
                <w:sz w:val="18"/>
                <w:szCs w:val="18"/>
              </w:rPr>
              <w:t>Valle</w:t>
            </w:r>
            <w:r w:rsidRPr="0026036A">
              <w:rPr>
                <w:sz w:val="18"/>
                <w:szCs w:val="18"/>
              </w:rPr>
              <w:t xml:space="preserve">: </w:t>
            </w:r>
            <w:r>
              <w:rPr>
                <w:sz w:val="18"/>
                <w:szCs w:val="18"/>
              </w:rPr>
              <w:t>12,9</w:t>
            </w:r>
            <w:r w:rsidRPr="0026036A">
              <w:rPr>
                <w:sz w:val="18"/>
                <w:szCs w:val="18"/>
              </w:rPr>
              <w:t xml:space="preserve">% en 2011.  Crecimiento </w:t>
            </w:r>
            <w:r>
              <w:rPr>
                <w:sz w:val="18"/>
                <w:szCs w:val="18"/>
              </w:rPr>
              <w:t>3</w:t>
            </w:r>
            <w:r w:rsidRPr="0026036A">
              <w:rPr>
                <w:sz w:val="18"/>
                <w:szCs w:val="18"/>
              </w:rPr>
              <w:t>% entre 2006 – 2011</w:t>
            </w:r>
          </w:p>
          <w:p w:rsidR="00950EA8" w:rsidRPr="0026036A" w:rsidRDefault="00950EA8" w:rsidP="00950EA8">
            <w:pPr>
              <w:rPr>
                <w:sz w:val="18"/>
                <w:szCs w:val="18"/>
              </w:rPr>
            </w:pPr>
            <w:r w:rsidRPr="0026036A">
              <w:rPr>
                <w:sz w:val="18"/>
                <w:szCs w:val="18"/>
              </w:rPr>
              <w:t>S</w:t>
            </w:r>
            <w:r>
              <w:rPr>
                <w:sz w:val="18"/>
                <w:szCs w:val="18"/>
              </w:rPr>
              <w:t xml:space="preserve">antander: 1,8% en 2011. Disminución de 62,5% </w:t>
            </w:r>
            <w:r w:rsidRPr="0026036A">
              <w:rPr>
                <w:sz w:val="18"/>
                <w:szCs w:val="18"/>
              </w:rPr>
              <w:t xml:space="preserve"> entre 2006 – 2011</w:t>
            </w:r>
          </w:p>
        </w:tc>
      </w:tr>
      <w:tr w:rsidR="00950EA8" w:rsidRPr="0026036A" w:rsidTr="00950EA8">
        <w:tc>
          <w:tcPr>
            <w:tcW w:w="2518" w:type="dxa"/>
          </w:tcPr>
          <w:p w:rsidR="00950EA8" w:rsidRPr="0026036A" w:rsidRDefault="00950EA8" w:rsidP="00950EA8">
            <w:pPr>
              <w:rPr>
                <w:sz w:val="18"/>
                <w:szCs w:val="18"/>
              </w:rPr>
            </w:pPr>
            <w:r w:rsidRPr="0026036A">
              <w:rPr>
                <w:sz w:val="18"/>
                <w:szCs w:val="18"/>
              </w:rPr>
              <w:t>Número de empresas exportadoras y promedio exportador por empresa</w:t>
            </w:r>
          </w:p>
        </w:tc>
        <w:tc>
          <w:tcPr>
            <w:tcW w:w="6460" w:type="dxa"/>
          </w:tcPr>
          <w:p w:rsidR="00950EA8" w:rsidRPr="0026036A" w:rsidRDefault="00950EA8" w:rsidP="00950EA8">
            <w:pPr>
              <w:rPr>
                <w:sz w:val="18"/>
                <w:szCs w:val="18"/>
              </w:rPr>
            </w:pPr>
            <w:r w:rsidRPr="0026036A">
              <w:rPr>
                <w:sz w:val="18"/>
                <w:szCs w:val="18"/>
              </w:rPr>
              <w:t xml:space="preserve">El número de empresas exportadoras ha oscilado entre </w:t>
            </w:r>
            <w:r>
              <w:rPr>
                <w:sz w:val="18"/>
                <w:szCs w:val="18"/>
              </w:rPr>
              <w:t>63</w:t>
            </w:r>
            <w:r w:rsidRPr="0026036A">
              <w:rPr>
                <w:sz w:val="18"/>
                <w:szCs w:val="18"/>
              </w:rPr>
              <w:t xml:space="preserve"> y </w:t>
            </w:r>
            <w:r>
              <w:rPr>
                <w:sz w:val="18"/>
                <w:szCs w:val="18"/>
              </w:rPr>
              <w:t>127</w:t>
            </w:r>
            <w:r w:rsidRPr="0026036A">
              <w:rPr>
                <w:sz w:val="18"/>
                <w:szCs w:val="18"/>
              </w:rPr>
              <w:t xml:space="preserve"> empresas.  Relativamente </w:t>
            </w:r>
            <w:r>
              <w:rPr>
                <w:sz w:val="18"/>
                <w:szCs w:val="18"/>
              </w:rPr>
              <w:t>bastantes</w:t>
            </w:r>
            <w:r w:rsidRPr="0026036A">
              <w:rPr>
                <w:sz w:val="18"/>
                <w:szCs w:val="18"/>
              </w:rPr>
              <w:t xml:space="preserve"> empresas exportadoras del capítulo.  </w:t>
            </w:r>
          </w:p>
          <w:p w:rsidR="00950EA8" w:rsidRPr="0026036A" w:rsidRDefault="00950EA8" w:rsidP="00950EA8">
            <w:pPr>
              <w:rPr>
                <w:sz w:val="18"/>
                <w:szCs w:val="18"/>
              </w:rPr>
            </w:pPr>
            <w:r w:rsidRPr="0026036A">
              <w:rPr>
                <w:sz w:val="18"/>
                <w:szCs w:val="18"/>
              </w:rPr>
              <w:t xml:space="preserve">Promedio exportado por empresa 2011:  </w:t>
            </w:r>
            <w:r>
              <w:rPr>
                <w:sz w:val="18"/>
                <w:szCs w:val="18"/>
              </w:rPr>
              <w:t xml:space="preserve">102 </w:t>
            </w:r>
            <w:r w:rsidRPr="0026036A">
              <w:rPr>
                <w:sz w:val="18"/>
                <w:szCs w:val="18"/>
              </w:rPr>
              <w:t>mil dólares</w:t>
            </w:r>
          </w:p>
          <w:p w:rsidR="00950EA8" w:rsidRPr="0026036A" w:rsidRDefault="00950EA8" w:rsidP="00950EA8">
            <w:pPr>
              <w:rPr>
                <w:sz w:val="18"/>
                <w:szCs w:val="18"/>
              </w:rPr>
            </w:pPr>
            <w:r w:rsidRPr="0026036A">
              <w:rPr>
                <w:sz w:val="18"/>
                <w:szCs w:val="18"/>
              </w:rPr>
              <w:t xml:space="preserve">El promedio exportado por empresa </w:t>
            </w:r>
            <w:r>
              <w:rPr>
                <w:sz w:val="18"/>
                <w:szCs w:val="18"/>
              </w:rPr>
              <w:t>disminuyó entre el 2006 – 2011 en 38</w:t>
            </w:r>
            <w:r w:rsidRPr="0026036A">
              <w:rPr>
                <w:sz w:val="18"/>
                <w:szCs w:val="18"/>
              </w:rPr>
              <w:t>%.</w:t>
            </w:r>
          </w:p>
        </w:tc>
      </w:tr>
      <w:tr w:rsidR="00950EA8" w:rsidRPr="0026036A" w:rsidTr="00950EA8">
        <w:tc>
          <w:tcPr>
            <w:tcW w:w="2518" w:type="dxa"/>
          </w:tcPr>
          <w:p w:rsidR="00950EA8" w:rsidRPr="0026036A" w:rsidRDefault="00950EA8" w:rsidP="00950EA8">
            <w:pPr>
              <w:rPr>
                <w:sz w:val="18"/>
                <w:szCs w:val="18"/>
              </w:rPr>
            </w:pPr>
            <w:r w:rsidRPr="0026036A">
              <w:rPr>
                <w:sz w:val="18"/>
                <w:szCs w:val="18"/>
              </w:rPr>
              <w:t>Desempeño en los principales mercados destino.</w:t>
            </w:r>
          </w:p>
        </w:tc>
        <w:tc>
          <w:tcPr>
            <w:tcW w:w="6460" w:type="dxa"/>
          </w:tcPr>
          <w:p w:rsidR="00950EA8" w:rsidRPr="0026036A" w:rsidRDefault="00950EA8" w:rsidP="00950EA8">
            <w:pPr>
              <w:rPr>
                <w:sz w:val="18"/>
                <w:szCs w:val="18"/>
              </w:rPr>
            </w:pPr>
            <w:r>
              <w:rPr>
                <w:sz w:val="18"/>
                <w:szCs w:val="18"/>
              </w:rPr>
              <w:t>Estados Unidos</w:t>
            </w:r>
            <w:r w:rsidRPr="0026036A">
              <w:rPr>
                <w:sz w:val="18"/>
                <w:szCs w:val="18"/>
              </w:rPr>
              <w:t xml:space="preserve"> (</w:t>
            </w:r>
            <w:r>
              <w:rPr>
                <w:sz w:val="18"/>
                <w:szCs w:val="18"/>
              </w:rPr>
              <w:t>29,1</w:t>
            </w:r>
            <w:r w:rsidRPr="0026036A">
              <w:rPr>
                <w:sz w:val="18"/>
                <w:szCs w:val="18"/>
              </w:rPr>
              <w:t xml:space="preserve">% en 2011).  </w:t>
            </w:r>
            <w:r>
              <w:rPr>
                <w:sz w:val="18"/>
                <w:szCs w:val="18"/>
              </w:rPr>
              <w:t>Disminución de 82,7% entre 2006 – 2011</w:t>
            </w:r>
          </w:p>
          <w:p w:rsidR="00950EA8" w:rsidRPr="0026036A" w:rsidRDefault="00950EA8" w:rsidP="00950EA8">
            <w:pPr>
              <w:rPr>
                <w:sz w:val="18"/>
                <w:szCs w:val="18"/>
              </w:rPr>
            </w:pPr>
            <w:r>
              <w:rPr>
                <w:sz w:val="18"/>
                <w:szCs w:val="18"/>
              </w:rPr>
              <w:t xml:space="preserve">Ecuador: </w:t>
            </w:r>
            <w:r w:rsidRPr="0026036A">
              <w:rPr>
                <w:sz w:val="18"/>
                <w:szCs w:val="18"/>
              </w:rPr>
              <w:t>(</w:t>
            </w:r>
            <w:r>
              <w:rPr>
                <w:sz w:val="18"/>
                <w:szCs w:val="18"/>
              </w:rPr>
              <w:t>18,2% en 2011).  Disminución de 17,7% entre 2006 - 2011</w:t>
            </w:r>
          </w:p>
          <w:p w:rsidR="00950EA8" w:rsidRPr="0026036A" w:rsidRDefault="00950EA8" w:rsidP="00950EA8">
            <w:pPr>
              <w:rPr>
                <w:sz w:val="18"/>
                <w:szCs w:val="18"/>
              </w:rPr>
            </w:pPr>
            <w:r>
              <w:rPr>
                <w:sz w:val="18"/>
                <w:szCs w:val="18"/>
              </w:rPr>
              <w:t>Venezuela:</w:t>
            </w:r>
            <w:r w:rsidRPr="0026036A">
              <w:rPr>
                <w:sz w:val="18"/>
                <w:szCs w:val="18"/>
              </w:rPr>
              <w:t xml:space="preserve"> (</w:t>
            </w:r>
            <w:r>
              <w:rPr>
                <w:sz w:val="18"/>
                <w:szCs w:val="18"/>
              </w:rPr>
              <w:t>26,7</w:t>
            </w:r>
            <w:r w:rsidRPr="0026036A">
              <w:rPr>
                <w:sz w:val="18"/>
                <w:szCs w:val="18"/>
              </w:rPr>
              <w:t xml:space="preserve">% en 2011). </w:t>
            </w:r>
            <w:r>
              <w:rPr>
                <w:sz w:val="18"/>
                <w:szCs w:val="18"/>
              </w:rPr>
              <w:t>Disminución de 50,8% entre 2006 - 2011</w:t>
            </w:r>
          </w:p>
          <w:p w:rsidR="00950EA8" w:rsidRPr="0026036A" w:rsidRDefault="00950EA8" w:rsidP="00950EA8">
            <w:pPr>
              <w:rPr>
                <w:sz w:val="18"/>
                <w:szCs w:val="18"/>
              </w:rPr>
            </w:pPr>
            <w:r>
              <w:rPr>
                <w:sz w:val="18"/>
                <w:szCs w:val="18"/>
              </w:rPr>
              <w:t>Puerto Rico:</w:t>
            </w:r>
            <w:r w:rsidRPr="0026036A">
              <w:rPr>
                <w:sz w:val="18"/>
                <w:szCs w:val="18"/>
              </w:rPr>
              <w:t xml:space="preserve"> (</w:t>
            </w:r>
            <w:r>
              <w:rPr>
                <w:sz w:val="18"/>
                <w:szCs w:val="18"/>
              </w:rPr>
              <w:t>5,9</w:t>
            </w:r>
            <w:r w:rsidRPr="0026036A">
              <w:rPr>
                <w:sz w:val="18"/>
                <w:szCs w:val="18"/>
              </w:rPr>
              <w:t xml:space="preserve">% en 2011).  </w:t>
            </w:r>
            <w:r>
              <w:rPr>
                <w:sz w:val="18"/>
                <w:szCs w:val="18"/>
              </w:rPr>
              <w:t xml:space="preserve">Disminución de 74,2% </w:t>
            </w:r>
            <w:r w:rsidRPr="0026036A">
              <w:rPr>
                <w:sz w:val="18"/>
                <w:szCs w:val="18"/>
              </w:rPr>
              <w:t>en</w:t>
            </w:r>
            <w:r>
              <w:rPr>
                <w:sz w:val="18"/>
                <w:szCs w:val="18"/>
              </w:rPr>
              <w:t>tre</w:t>
            </w:r>
            <w:r w:rsidRPr="0026036A">
              <w:rPr>
                <w:sz w:val="18"/>
                <w:szCs w:val="18"/>
              </w:rPr>
              <w:t xml:space="preserve"> 2006 </w:t>
            </w:r>
            <w:r>
              <w:rPr>
                <w:sz w:val="18"/>
                <w:szCs w:val="18"/>
              </w:rPr>
              <w:t>–</w:t>
            </w:r>
            <w:r w:rsidRPr="0026036A">
              <w:rPr>
                <w:sz w:val="18"/>
                <w:szCs w:val="18"/>
              </w:rPr>
              <w:t xml:space="preserve"> 2011</w:t>
            </w:r>
          </w:p>
        </w:tc>
      </w:tr>
      <w:tr w:rsidR="00950EA8" w:rsidRPr="0026036A" w:rsidTr="00950EA8">
        <w:tc>
          <w:tcPr>
            <w:tcW w:w="2518" w:type="dxa"/>
          </w:tcPr>
          <w:p w:rsidR="00950EA8" w:rsidRPr="0026036A" w:rsidRDefault="00950EA8" w:rsidP="00950EA8">
            <w:pPr>
              <w:rPr>
                <w:sz w:val="18"/>
                <w:szCs w:val="18"/>
              </w:rPr>
            </w:pPr>
            <w:r w:rsidRPr="0026036A">
              <w:rPr>
                <w:sz w:val="18"/>
                <w:szCs w:val="18"/>
              </w:rPr>
              <w:t>Diversificación de mercados</w:t>
            </w:r>
          </w:p>
        </w:tc>
        <w:tc>
          <w:tcPr>
            <w:tcW w:w="6460" w:type="dxa"/>
          </w:tcPr>
          <w:p w:rsidR="00950EA8" w:rsidRPr="0026036A" w:rsidRDefault="00950EA8" w:rsidP="00950EA8">
            <w:pPr>
              <w:rPr>
                <w:sz w:val="18"/>
                <w:szCs w:val="18"/>
              </w:rPr>
            </w:pPr>
            <w:r>
              <w:rPr>
                <w:sz w:val="18"/>
                <w:szCs w:val="18"/>
              </w:rPr>
              <w:t>No se presenta alta concentración de exportaciones a un único mercado.  Se exporta a diversos países.</w:t>
            </w:r>
          </w:p>
        </w:tc>
      </w:tr>
      <w:tr w:rsidR="00950EA8" w:rsidRPr="0026036A" w:rsidTr="00950EA8">
        <w:tc>
          <w:tcPr>
            <w:tcW w:w="2518" w:type="dxa"/>
          </w:tcPr>
          <w:p w:rsidR="00950EA8" w:rsidRPr="0026036A" w:rsidRDefault="00950EA8" w:rsidP="00950EA8">
            <w:pPr>
              <w:rPr>
                <w:sz w:val="18"/>
                <w:szCs w:val="18"/>
              </w:rPr>
            </w:pPr>
            <w:r w:rsidRPr="0026036A">
              <w:rPr>
                <w:sz w:val="18"/>
                <w:szCs w:val="18"/>
              </w:rPr>
              <w:t>Características de los mercados destino</w:t>
            </w:r>
          </w:p>
        </w:tc>
        <w:tc>
          <w:tcPr>
            <w:tcW w:w="6460" w:type="dxa"/>
          </w:tcPr>
          <w:p w:rsidR="00950EA8" w:rsidRPr="0026036A" w:rsidRDefault="00950EA8" w:rsidP="00950EA8">
            <w:pPr>
              <w:rPr>
                <w:sz w:val="18"/>
                <w:szCs w:val="18"/>
              </w:rPr>
            </w:pPr>
            <w:r>
              <w:rPr>
                <w:sz w:val="18"/>
                <w:szCs w:val="18"/>
              </w:rPr>
              <w:t xml:space="preserve">Se realizan exportaciones a Estados Unidos, en alto porcentaje, que es considerado un mercado psicológicamente distante. </w:t>
            </w:r>
            <w:r w:rsidRPr="0026036A">
              <w:rPr>
                <w:sz w:val="18"/>
                <w:szCs w:val="18"/>
              </w:rPr>
              <w:t xml:space="preserve">Gran parte de las exportaciones del capítulo  se dirigen a mercados </w:t>
            </w:r>
            <w:r>
              <w:rPr>
                <w:sz w:val="18"/>
                <w:szCs w:val="18"/>
              </w:rPr>
              <w:t xml:space="preserve">psicológicamente cercanos. </w:t>
            </w:r>
            <w:r w:rsidRPr="0026036A">
              <w:rPr>
                <w:sz w:val="18"/>
                <w:szCs w:val="18"/>
              </w:rPr>
              <w:t xml:space="preserve"> </w:t>
            </w:r>
          </w:p>
        </w:tc>
      </w:tr>
      <w:tr w:rsidR="00950EA8" w:rsidRPr="0026036A" w:rsidTr="00950EA8">
        <w:tc>
          <w:tcPr>
            <w:tcW w:w="2518" w:type="dxa"/>
          </w:tcPr>
          <w:p w:rsidR="00950EA8" w:rsidRPr="0026036A" w:rsidRDefault="00950EA8" w:rsidP="00950EA8">
            <w:pPr>
              <w:rPr>
                <w:sz w:val="18"/>
                <w:szCs w:val="18"/>
              </w:rPr>
            </w:pPr>
            <w:r w:rsidRPr="0026036A">
              <w:rPr>
                <w:sz w:val="18"/>
                <w:szCs w:val="18"/>
              </w:rPr>
              <w:t>Diversificación de productos (partidas arancelarias)</w:t>
            </w:r>
          </w:p>
        </w:tc>
        <w:tc>
          <w:tcPr>
            <w:tcW w:w="6460" w:type="dxa"/>
          </w:tcPr>
          <w:p w:rsidR="00950EA8" w:rsidRDefault="00950EA8" w:rsidP="00950EA8">
            <w:pPr>
              <w:rPr>
                <w:sz w:val="18"/>
                <w:szCs w:val="18"/>
              </w:rPr>
            </w:pPr>
            <w:r>
              <w:rPr>
                <w:sz w:val="18"/>
                <w:szCs w:val="18"/>
              </w:rPr>
              <w:t>6209: 45,3% en 2011. Disminución de 60,9% entre 2006 – 2011</w:t>
            </w:r>
          </w:p>
          <w:p w:rsidR="00950EA8" w:rsidRPr="0026036A" w:rsidRDefault="00950EA8" w:rsidP="00950EA8">
            <w:pPr>
              <w:rPr>
                <w:sz w:val="18"/>
                <w:szCs w:val="18"/>
              </w:rPr>
            </w:pPr>
            <w:r>
              <w:rPr>
                <w:sz w:val="18"/>
                <w:szCs w:val="18"/>
              </w:rPr>
              <w:t>6204: 38,4% en 2011. Disminución de 75,7% entre 2006 – 2011</w:t>
            </w:r>
          </w:p>
        </w:tc>
      </w:tr>
    </w:tbl>
    <w:p w:rsidR="00950EA8" w:rsidRDefault="0096159F" w:rsidP="0096159F">
      <w:pPr>
        <w:pStyle w:val="Prrafodelista"/>
        <w:ind w:left="0"/>
      </w:pPr>
      <w:r>
        <w:t>Elaboración propia</w:t>
      </w:r>
    </w:p>
    <w:p w:rsidR="0096159F" w:rsidRDefault="0096159F" w:rsidP="0096159F">
      <w:pPr>
        <w:pStyle w:val="Prrafodelista"/>
        <w:ind w:left="0"/>
      </w:pPr>
    </w:p>
    <w:p w:rsidR="00653B39" w:rsidRDefault="00653B39" w:rsidP="00837C20">
      <w:r w:rsidRPr="00AB7177">
        <w:rPr>
          <w:b/>
        </w:rPr>
        <w:t>Tabla 4</w:t>
      </w:r>
      <w:r>
        <w:t xml:space="preserve">. </w:t>
      </w:r>
      <w:r w:rsidR="00837C20">
        <w:t xml:space="preserve">Descripción e interpretación de </w:t>
      </w:r>
      <w:r>
        <w:t>Indicadores de dinamismo comercial utilizados en el estudio.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44"/>
        <w:gridCol w:w="2244"/>
        <w:gridCol w:w="2245"/>
        <w:gridCol w:w="2245"/>
      </w:tblGrid>
      <w:tr w:rsidR="00837C20" w:rsidRPr="008E6055" w:rsidTr="00837C20">
        <w:trPr>
          <w:trHeight w:val="912"/>
        </w:trPr>
        <w:tc>
          <w:tcPr>
            <w:tcW w:w="1250" w:type="pct"/>
            <w:tcBorders>
              <w:bottom w:val="single" w:sz="4" w:space="0" w:color="auto"/>
            </w:tcBorders>
            <w:shd w:val="clear" w:color="auto" w:fill="A6A6A6" w:themeFill="background1" w:themeFillShade="A6"/>
            <w:noWrap/>
          </w:tcPr>
          <w:p w:rsidR="00837C20" w:rsidRPr="008E6055" w:rsidRDefault="00837C20" w:rsidP="00653B39">
            <w:pPr>
              <w:jc w:val="center"/>
              <w:rPr>
                <w:sz w:val="18"/>
                <w:szCs w:val="18"/>
              </w:rPr>
            </w:pPr>
            <w:r w:rsidRPr="008E6055">
              <w:rPr>
                <w:sz w:val="18"/>
                <w:szCs w:val="18"/>
              </w:rPr>
              <w:t>BALANZA COMERCIAL RELATIVA</w:t>
            </w:r>
          </w:p>
          <w:p w:rsidR="00837C20" w:rsidRPr="008E6055" w:rsidRDefault="00837C20" w:rsidP="00653B39">
            <w:pPr>
              <w:jc w:val="center"/>
              <w:rPr>
                <w:rFonts w:eastAsia="Times New Roman"/>
                <w:color w:val="000000"/>
                <w:sz w:val="18"/>
                <w:szCs w:val="18"/>
                <w:lang w:eastAsia="es-CO"/>
              </w:rPr>
            </w:pPr>
            <w:r w:rsidRPr="008E6055">
              <w:rPr>
                <w:sz w:val="18"/>
                <w:szCs w:val="18"/>
              </w:rPr>
              <w:t>SECTORIAL</w:t>
            </w:r>
          </w:p>
        </w:tc>
        <w:tc>
          <w:tcPr>
            <w:tcW w:w="1250" w:type="pct"/>
            <w:tcBorders>
              <w:bottom w:val="single" w:sz="4" w:space="0" w:color="auto"/>
            </w:tcBorders>
            <w:shd w:val="clear" w:color="auto" w:fill="A6A6A6" w:themeFill="background1" w:themeFillShade="A6"/>
            <w:noWrap/>
          </w:tcPr>
          <w:p w:rsidR="00837C20" w:rsidRPr="008E6055" w:rsidRDefault="00837C20" w:rsidP="00653B39">
            <w:pPr>
              <w:jc w:val="center"/>
              <w:rPr>
                <w:rFonts w:eastAsia="Times New Roman"/>
                <w:color w:val="000000"/>
                <w:sz w:val="18"/>
                <w:szCs w:val="18"/>
                <w:lang w:eastAsia="es-CO"/>
              </w:rPr>
            </w:pPr>
            <w:r w:rsidRPr="008E6055">
              <w:rPr>
                <w:sz w:val="18"/>
                <w:szCs w:val="18"/>
              </w:rPr>
              <w:t>BALANZA COMERCIAL RELATIVA SECTORIAL CON REFERENCIA A UN PAÍS DESTINO.</w:t>
            </w:r>
          </w:p>
        </w:tc>
        <w:tc>
          <w:tcPr>
            <w:tcW w:w="1250" w:type="pct"/>
            <w:tcBorders>
              <w:bottom w:val="single" w:sz="4" w:space="0" w:color="auto"/>
            </w:tcBorders>
            <w:shd w:val="clear" w:color="auto" w:fill="A6A6A6" w:themeFill="background1" w:themeFillShade="A6"/>
            <w:noWrap/>
          </w:tcPr>
          <w:p w:rsidR="00837C20" w:rsidRPr="008E6055" w:rsidRDefault="00837C20" w:rsidP="00653B39">
            <w:pPr>
              <w:jc w:val="center"/>
              <w:rPr>
                <w:rFonts w:eastAsia="Times New Roman"/>
                <w:color w:val="000000"/>
                <w:sz w:val="18"/>
                <w:szCs w:val="18"/>
                <w:lang w:eastAsia="es-CO"/>
              </w:rPr>
            </w:pPr>
            <w:r w:rsidRPr="008E6055">
              <w:rPr>
                <w:sz w:val="18"/>
                <w:szCs w:val="18"/>
              </w:rPr>
              <w:t>INDICE DE VENTAJA COMPARATIVA REVELADA.</w:t>
            </w:r>
          </w:p>
        </w:tc>
        <w:tc>
          <w:tcPr>
            <w:tcW w:w="1250" w:type="pct"/>
            <w:tcBorders>
              <w:bottom w:val="single" w:sz="4" w:space="0" w:color="auto"/>
            </w:tcBorders>
            <w:shd w:val="clear" w:color="auto" w:fill="A6A6A6" w:themeFill="background1" w:themeFillShade="A6"/>
            <w:noWrap/>
          </w:tcPr>
          <w:p w:rsidR="00837C20" w:rsidRPr="008E6055" w:rsidRDefault="00837C20" w:rsidP="00653B39">
            <w:pPr>
              <w:jc w:val="center"/>
              <w:rPr>
                <w:rFonts w:eastAsia="Times New Roman"/>
                <w:color w:val="000000"/>
                <w:sz w:val="18"/>
                <w:szCs w:val="18"/>
                <w:lang w:eastAsia="es-CO"/>
              </w:rPr>
            </w:pPr>
            <w:r w:rsidRPr="008E6055">
              <w:rPr>
                <w:sz w:val="18"/>
                <w:szCs w:val="18"/>
              </w:rPr>
              <w:t>INDICE DE BALASSA</w:t>
            </w:r>
          </w:p>
        </w:tc>
      </w:tr>
      <w:tr w:rsidR="00837C20" w:rsidRPr="008E6055" w:rsidTr="00837C20">
        <w:trPr>
          <w:trHeight w:val="694"/>
        </w:trPr>
        <w:tc>
          <w:tcPr>
            <w:tcW w:w="1250" w:type="pct"/>
            <w:shd w:val="clear" w:color="auto" w:fill="D9D9D9" w:themeFill="background1" w:themeFillShade="D9"/>
            <w:noWrap/>
            <w:vAlign w:val="center"/>
          </w:tcPr>
          <w:p w:rsidR="00837C20" w:rsidRPr="008E6055" w:rsidRDefault="00837C20" w:rsidP="00653B39">
            <w:pPr>
              <w:jc w:val="center"/>
              <w:rPr>
                <w:rFonts w:eastAsia="Times New Roman"/>
                <w:color w:val="000000"/>
                <w:sz w:val="18"/>
                <w:szCs w:val="18"/>
                <w:lang w:val="en-US" w:eastAsia="es-CO"/>
              </w:rPr>
            </w:pPr>
            <w:r w:rsidRPr="008E6055">
              <w:rPr>
                <w:sz w:val="18"/>
                <w:szCs w:val="18"/>
                <w:highlight w:val="lightGray"/>
                <w:lang w:val="en-US"/>
              </w:rPr>
              <w:t xml:space="preserve">BCRs= </w:t>
            </w:r>
            <m:oMath>
              <m:f>
                <m:fPr>
                  <m:ctrlPr>
                    <w:rPr>
                      <w:rFonts w:ascii="Cambria Math" w:hAnsi="Cambria Math"/>
                      <w:i/>
                      <w:sz w:val="18"/>
                      <w:szCs w:val="18"/>
                      <w:highlight w:val="lightGray"/>
                    </w:rPr>
                  </m:ctrlPr>
                </m:fPr>
                <m:num>
                  <m:sSub>
                    <m:sSubPr>
                      <m:ctrlPr>
                        <w:rPr>
                          <w:rFonts w:ascii="Cambria Math" w:hAnsi="Cambria Math"/>
                          <w:i/>
                          <w:sz w:val="18"/>
                          <w:szCs w:val="18"/>
                          <w:highlight w:val="lightGray"/>
                        </w:rPr>
                      </m:ctrlPr>
                    </m:sSubPr>
                    <m:e>
                      <m:r>
                        <w:rPr>
                          <w:rFonts w:ascii="Cambria Math" w:hAnsi="Cambria Math"/>
                          <w:sz w:val="18"/>
                          <w:szCs w:val="18"/>
                          <w:highlight w:val="lightGray"/>
                          <w:lang w:val="en-US"/>
                        </w:rPr>
                        <m:t>(</m:t>
                      </m:r>
                      <m:r>
                        <w:rPr>
                          <w:rFonts w:ascii="Cambria Math" w:hAnsi="Cambria Math"/>
                          <w:sz w:val="18"/>
                          <w:szCs w:val="18"/>
                          <w:highlight w:val="lightGray"/>
                        </w:rPr>
                        <m:t>EXP</m:t>
                      </m:r>
                    </m:e>
                    <m:sub>
                      <m:r>
                        <w:rPr>
                          <w:rFonts w:ascii="Cambria Math" w:hAnsi="Cambria Math"/>
                          <w:sz w:val="18"/>
                          <w:szCs w:val="18"/>
                          <w:highlight w:val="lightGray"/>
                        </w:rPr>
                        <m:t>CAP</m:t>
                      </m:r>
                    </m:sub>
                  </m:sSub>
                  <m:r>
                    <w:rPr>
                      <w:rFonts w:ascii="Cambria Math" w:hAnsi="Cambria Math"/>
                      <w:sz w:val="18"/>
                      <w:szCs w:val="18"/>
                      <w:highlight w:val="lightGray"/>
                      <w:lang w:val="en-US"/>
                    </w:rPr>
                    <m:t>-</m:t>
                  </m:r>
                  <m:sSub>
                    <m:sSubPr>
                      <m:ctrlPr>
                        <w:rPr>
                          <w:rFonts w:ascii="Cambria Math" w:hAnsi="Cambria Math"/>
                          <w:i/>
                          <w:sz w:val="18"/>
                          <w:szCs w:val="18"/>
                          <w:highlight w:val="lightGray"/>
                        </w:rPr>
                      </m:ctrlPr>
                    </m:sSubPr>
                    <m:e>
                      <m:r>
                        <w:rPr>
                          <w:rFonts w:ascii="Cambria Math" w:hAnsi="Cambria Math"/>
                          <w:sz w:val="18"/>
                          <w:szCs w:val="18"/>
                          <w:highlight w:val="lightGray"/>
                        </w:rPr>
                        <m:t>IMP</m:t>
                      </m:r>
                    </m:e>
                    <m:sub>
                      <m:r>
                        <w:rPr>
                          <w:rFonts w:ascii="Cambria Math" w:hAnsi="Cambria Math"/>
                          <w:sz w:val="18"/>
                          <w:szCs w:val="18"/>
                          <w:highlight w:val="lightGray"/>
                        </w:rPr>
                        <m:t>CAP</m:t>
                      </m:r>
                    </m:sub>
                  </m:sSub>
                  <m:r>
                    <w:rPr>
                      <w:rFonts w:ascii="Cambria Math" w:hAnsi="Cambria Math"/>
                      <w:sz w:val="18"/>
                      <w:szCs w:val="18"/>
                      <w:highlight w:val="lightGray"/>
                      <w:lang w:val="en-US"/>
                    </w:rPr>
                    <m:t>)</m:t>
                  </m:r>
                </m:num>
                <m:den>
                  <m:r>
                    <w:rPr>
                      <w:rFonts w:ascii="Cambria Math" w:hAnsi="Cambria Math"/>
                      <w:sz w:val="18"/>
                      <w:szCs w:val="18"/>
                      <w:highlight w:val="lightGray"/>
                      <w:lang w:val="en-US"/>
                    </w:rPr>
                    <m:t>(</m:t>
                  </m:r>
                  <m:sSub>
                    <m:sSubPr>
                      <m:ctrlPr>
                        <w:rPr>
                          <w:rFonts w:ascii="Cambria Math" w:hAnsi="Cambria Math"/>
                          <w:i/>
                          <w:sz w:val="18"/>
                          <w:szCs w:val="18"/>
                          <w:highlight w:val="lightGray"/>
                        </w:rPr>
                      </m:ctrlPr>
                    </m:sSubPr>
                    <m:e>
                      <m:r>
                        <w:rPr>
                          <w:rFonts w:ascii="Cambria Math" w:hAnsi="Cambria Math"/>
                          <w:sz w:val="18"/>
                          <w:szCs w:val="18"/>
                          <w:highlight w:val="lightGray"/>
                        </w:rPr>
                        <m:t>EXP</m:t>
                      </m:r>
                    </m:e>
                    <m:sub>
                      <m:r>
                        <w:rPr>
                          <w:rFonts w:ascii="Cambria Math" w:hAnsi="Cambria Math"/>
                          <w:sz w:val="18"/>
                          <w:szCs w:val="18"/>
                          <w:highlight w:val="lightGray"/>
                        </w:rPr>
                        <m:t>CAP</m:t>
                      </m:r>
                      <m:r>
                        <w:rPr>
                          <w:rFonts w:ascii="Cambria Math" w:hAnsi="Cambria Math"/>
                          <w:sz w:val="18"/>
                          <w:szCs w:val="18"/>
                          <w:highlight w:val="lightGray"/>
                          <w:lang w:val="en-US"/>
                        </w:rPr>
                        <m:t xml:space="preserve"> </m:t>
                      </m:r>
                    </m:sub>
                  </m:sSub>
                  <m:r>
                    <w:rPr>
                      <w:rFonts w:ascii="Cambria Math" w:hAnsi="Cambria Math"/>
                      <w:sz w:val="18"/>
                      <w:szCs w:val="18"/>
                      <w:highlight w:val="lightGray"/>
                      <w:lang w:val="en-US"/>
                    </w:rPr>
                    <m:t xml:space="preserve">+ </m:t>
                  </m:r>
                  <m:sSub>
                    <m:sSubPr>
                      <m:ctrlPr>
                        <w:rPr>
                          <w:rFonts w:ascii="Cambria Math" w:hAnsi="Cambria Math"/>
                          <w:i/>
                          <w:sz w:val="18"/>
                          <w:szCs w:val="18"/>
                          <w:highlight w:val="lightGray"/>
                        </w:rPr>
                      </m:ctrlPr>
                    </m:sSubPr>
                    <m:e>
                      <m:r>
                        <w:rPr>
                          <w:rFonts w:ascii="Cambria Math" w:hAnsi="Cambria Math"/>
                          <w:sz w:val="18"/>
                          <w:szCs w:val="18"/>
                          <w:highlight w:val="lightGray"/>
                        </w:rPr>
                        <m:t>IMP</m:t>
                      </m:r>
                    </m:e>
                    <m:sub>
                      <m:r>
                        <w:rPr>
                          <w:rFonts w:ascii="Cambria Math" w:hAnsi="Cambria Math"/>
                          <w:sz w:val="18"/>
                          <w:szCs w:val="18"/>
                          <w:highlight w:val="lightGray"/>
                        </w:rPr>
                        <m:t>CAP</m:t>
                      </m:r>
                      <m:r>
                        <w:rPr>
                          <w:rFonts w:ascii="Cambria Math" w:hAnsi="Cambria Math"/>
                          <w:sz w:val="18"/>
                          <w:szCs w:val="18"/>
                          <w:highlight w:val="lightGray"/>
                          <w:lang w:val="en-US"/>
                        </w:rPr>
                        <m:t>)</m:t>
                      </m:r>
                    </m:sub>
                  </m:sSub>
                </m:den>
              </m:f>
            </m:oMath>
          </w:p>
        </w:tc>
        <w:tc>
          <w:tcPr>
            <w:tcW w:w="1250" w:type="pct"/>
            <w:shd w:val="clear" w:color="auto" w:fill="D9D9D9" w:themeFill="background1" w:themeFillShade="D9"/>
            <w:noWrap/>
            <w:vAlign w:val="center"/>
          </w:tcPr>
          <w:p w:rsidR="00837C20" w:rsidRPr="008E6055" w:rsidRDefault="00837C20" w:rsidP="00653B39">
            <w:pPr>
              <w:jc w:val="center"/>
              <w:rPr>
                <w:sz w:val="18"/>
                <w:szCs w:val="18"/>
              </w:rPr>
            </w:pPr>
            <w:r w:rsidRPr="008E6055">
              <w:rPr>
                <w:sz w:val="18"/>
                <w:szCs w:val="18"/>
                <w:highlight w:val="lightGray"/>
              </w:rPr>
              <w:t>BCR</w:t>
            </w:r>
            <w:r w:rsidRPr="008E6055">
              <w:rPr>
                <w:sz w:val="18"/>
                <w:szCs w:val="18"/>
                <w:highlight w:val="lightGray"/>
                <w:vertAlign w:val="subscript"/>
              </w:rPr>
              <w:t>ij</w:t>
            </w:r>
            <w:r w:rsidRPr="008E6055">
              <w:rPr>
                <w:sz w:val="18"/>
                <w:szCs w:val="18"/>
                <w:highlight w:val="lightGray"/>
              </w:rPr>
              <w:t xml:space="preserve"> = </w:t>
            </w:r>
            <m:oMath>
              <m:f>
                <m:fPr>
                  <m:ctrlPr>
                    <w:rPr>
                      <w:rFonts w:ascii="Cambria Math" w:hAnsi="Cambria Math"/>
                      <w:i/>
                      <w:sz w:val="18"/>
                      <w:szCs w:val="18"/>
                      <w:highlight w:val="lightGray"/>
                    </w:rPr>
                  </m:ctrlPr>
                </m:fPr>
                <m:num>
                  <m:r>
                    <w:rPr>
                      <w:rFonts w:ascii="Cambria Math" w:hAnsi="Cambria Math"/>
                      <w:sz w:val="18"/>
                      <w:szCs w:val="18"/>
                      <w:highlight w:val="lightGray"/>
                    </w:rPr>
                    <m:t xml:space="preserve"> ( </m:t>
                  </m:r>
                  <m:sSubSup>
                    <m:sSubSupPr>
                      <m:ctrlPr>
                        <w:rPr>
                          <w:rFonts w:ascii="Cambria Math" w:hAnsi="Cambria Math"/>
                          <w:i/>
                          <w:sz w:val="18"/>
                          <w:szCs w:val="18"/>
                          <w:highlight w:val="lightGray"/>
                        </w:rPr>
                      </m:ctrlPr>
                    </m:sSubSupPr>
                    <m:e>
                      <m:r>
                        <w:rPr>
                          <w:rFonts w:ascii="Cambria Math" w:hAnsi="Cambria Math"/>
                          <w:sz w:val="18"/>
                          <w:szCs w:val="18"/>
                          <w:highlight w:val="lightGray"/>
                        </w:rPr>
                        <m:t>X</m:t>
                      </m:r>
                    </m:e>
                    <m:sub>
                      <m:r>
                        <w:rPr>
                          <w:rFonts w:ascii="Cambria Math" w:hAnsi="Cambria Math"/>
                          <w:sz w:val="18"/>
                          <w:szCs w:val="18"/>
                          <w:highlight w:val="lightGray"/>
                        </w:rPr>
                        <m:t>i</m:t>
                      </m:r>
                    </m:sub>
                    <m:sup>
                      <m:r>
                        <w:rPr>
                          <w:rFonts w:ascii="Cambria Math" w:hAnsi="Cambria Math"/>
                          <w:sz w:val="18"/>
                          <w:szCs w:val="18"/>
                          <w:highlight w:val="lightGray"/>
                        </w:rPr>
                        <m:t>j</m:t>
                      </m:r>
                    </m:sup>
                  </m:sSubSup>
                  <m:r>
                    <w:rPr>
                      <w:rFonts w:ascii="Cambria Math" w:hAnsi="Cambria Math"/>
                      <w:sz w:val="18"/>
                      <w:szCs w:val="18"/>
                      <w:highlight w:val="lightGray"/>
                    </w:rPr>
                    <m:t>-</m:t>
                  </m:r>
                  <m:sSubSup>
                    <m:sSubSupPr>
                      <m:ctrlPr>
                        <w:rPr>
                          <w:rFonts w:ascii="Cambria Math" w:hAnsi="Cambria Math"/>
                          <w:i/>
                          <w:sz w:val="18"/>
                          <w:szCs w:val="18"/>
                          <w:highlight w:val="lightGray"/>
                        </w:rPr>
                      </m:ctrlPr>
                    </m:sSubSupPr>
                    <m:e>
                      <m:r>
                        <w:rPr>
                          <w:rFonts w:ascii="Cambria Math" w:hAnsi="Cambria Math"/>
                          <w:sz w:val="18"/>
                          <w:szCs w:val="18"/>
                          <w:highlight w:val="lightGray"/>
                        </w:rPr>
                        <m:t>M</m:t>
                      </m:r>
                    </m:e>
                    <m:sub>
                      <m:r>
                        <w:rPr>
                          <w:rFonts w:ascii="Cambria Math" w:hAnsi="Cambria Math"/>
                          <w:sz w:val="18"/>
                          <w:szCs w:val="18"/>
                          <w:highlight w:val="lightGray"/>
                        </w:rPr>
                        <m:t>i</m:t>
                      </m:r>
                    </m:sub>
                    <m:sup>
                      <m:r>
                        <w:rPr>
                          <w:rFonts w:ascii="Cambria Math" w:hAnsi="Cambria Math"/>
                          <w:sz w:val="18"/>
                          <w:szCs w:val="18"/>
                          <w:highlight w:val="lightGray"/>
                        </w:rPr>
                        <m:t>j</m:t>
                      </m:r>
                    </m:sup>
                  </m:sSubSup>
                  <m:r>
                    <w:rPr>
                      <w:rFonts w:ascii="Cambria Math" w:hAnsi="Cambria Math"/>
                      <w:sz w:val="18"/>
                      <w:szCs w:val="18"/>
                      <w:highlight w:val="lightGray"/>
                    </w:rPr>
                    <m:t>)</m:t>
                  </m:r>
                </m:num>
                <m:den>
                  <m:r>
                    <w:rPr>
                      <w:rFonts w:ascii="Cambria Math" w:hAnsi="Cambria Math"/>
                      <w:sz w:val="18"/>
                      <w:szCs w:val="18"/>
                      <w:highlight w:val="lightGray"/>
                    </w:rPr>
                    <m:t>(</m:t>
                  </m:r>
                  <m:sSubSup>
                    <m:sSubSupPr>
                      <m:ctrlPr>
                        <w:rPr>
                          <w:rFonts w:ascii="Cambria Math" w:hAnsi="Cambria Math"/>
                          <w:i/>
                          <w:sz w:val="18"/>
                          <w:szCs w:val="18"/>
                          <w:highlight w:val="lightGray"/>
                        </w:rPr>
                      </m:ctrlPr>
                    </m:sSubSupPr>
                    <m:e>
                      <m:r>
                        <w:rPr>
                          <w:rFonts w:ascii="Cambria Math" w:hAnsi="Cambria Math"/>
                          <w:sz w:val="18"/>
                          <w:szCs w:val="18"/>
                          <w:highlight w:val="lightGray"/>
                        </w:rPr>
                        <m:t>X</m:t>
                      </m:r>
                    </m:e>
                    <m:sub>
                      <m:r>
                        <w:rPr>
                          <w:rFonts w:ascii="Cambria Math" w:hAnsi="Cambria Math"/>
                          <w:sz w:val="18"/>
                          <w:szCs w:val="18"/>
                          <w:highlight w:val="lightGray"/>
                        </w:rPr>
                        <m:t>i</m:t>
                      </m:r>
                    </m:sub>
                    <m:sup>
                      <m:r>
                        <w:rPr>
                          <w:rFonts w:ascii="Cambria Math" w:hAnsi="Cambria Math"/>
                          <w:sz w:val="18"/>
                          <w:szCs w:val="18"/>
                          <w:highlight w:val="lightGray"/>
                        </w:rPr>
                        <m:t>j</m:t>
                      </m:r>
                    </m:sup>
                  </m:sSubSup>
                  <m:r>
                    <w:rPr>
                      <w:rFonts w:ascii="Cambria Math" w:hAnsi="Cambria Math"/>
                      <w:sz w:val="18"/>
                      <w:szCs w:val="18"/>
                      <w:highlight w:val="lightGray"/>
                    </w:rPr>
                    <m:t xml:space="preserve">+ </m:t>
                  </m:r>
                  <m:sSubSup>
                    <m:sSubSupPr>
                      <m:ctrlPr>
                        <w:rPr>
                          <w:rFonts w:ascii="Cambria Math" w:hAnsi="Cambria Math"/>
                          <w:i/>
                          <w:sz w:val="18"/>
                          <w:szCs w:val="18"/>
                          <w:highlight w:val="lightGray"/>
                        </w:rPr>
                      </m:ctrlPr>
                    </m:sSubSupPr>
                    <m:e>
                      <m:r>
                        <w:rPr>
                          <w:rFonts w:ascii="Cambria Math" w:hAnsi="Cambria Math"/>
                          <w:sz w:val="18"/>
                          <w:szCs w:val="18"/>
                          <w:highlight w:val="lightGray"/>
                        </w:rPr>
                        <m:t>M</m:t>
                      </m:r>
                    </m:e>
                    <m:sub>
                      <m:r>
                        <w:rPr>
                          <w:rFonts w:ascii="Cambria Math" w:hAnsi="Cambria Math"/>
                          <w:sz w:val="18"/>
                          <w:szCs w:val="18"/>
                          <w:highlight w:val="lightGray"/>
                        </w:rPr>
                        <m:t>i</m:t>
                      </m:r>
                    </m:sub>
                    <m:sup>
                      <m:r>
                        <w:rPr>
                          <w:rFonts w:ascii="Cambria Math" w:hAnsi="Cambria Math"/>
                          <w:sz w:val="18"/>
                          <w:szCs w:val="18"/>
                          <w:highlight w:val="lightGray"/>
                        </w:rPr>
                        <m:t>j</m:t>
                      </m:r>
                    </m:sup>
                  </m:sSubSup>
                  <m:r>
                    <w:rPr>
                      <w:rFonts w:ascii="Cambria Math" w:hAnsi="Cambria Math"/>
                      <w:sz w:val="18"/>
                      <w:szCs w:val="18"/>
                      <w:highlight w:val="lightGray"/>
                    </w:rPr>
                    <m:t>)</m:t>
                  </m:r>
                </m:den>
              </m:f>
            </m:oMath>
          </w:p>
          <w:p w:rsidR="00837C20" w:rsidRPr="008E6055" w:rsidRDefault="00837C20" w:rsidP="00653B39">
            <w:pPr>
              <w:jc w:val="center"/>
              <w:rPr>
                <w:rFonts w:eastAsia="Times New Roman"/>
                <w:color w:val="000000"/>
                <w:sz w:val="18"/>
                <w:szCs w:val="18"/>
                <w:lang w:eastAsia="es-CO"/>
              </w:rPr>
            </w:pPr>
          </w:p>
        </w:tc>
        <w:tc>
          <w:tcPr>
            <w:tcW w:w="1250" w:type="pct"/>
            <w:shd w:val="clear" w:color="auto" w:fill="D9D9D9" w:themeFill="background1" w:themeFillShade="D9"/>
            <w:noWrap/>
            <w:vAlign w:val="center"/>
          </w:tcPr>
          <w:p w:rsidR="00837C20" w:rsidRPr="00173525" w:rsidRDefault="00837C20" w:rsidP="00653B39">
            <w:pPr>
              <w:jc w:val="center"/>
              <w:rPr>
                <w:rFonts w:eastAsia="Times New Roman"/>
                <w:sz w:val="18"/>
                <w:szCs w:val="18"/>
                <w:highlight w:val="lightGray"/>
              </w:rPr>
            </w:pPr>
          </w:p>
          <w:p w:rsidR="00837C20" w:rsidRPr="00173525" w:rsidRDefault="00650550" w:rsidP="00653B39">
            <w:pPr>
              <w:jc w:val="center"/>
            </w:pPr>
            <m:oMathPara>
              <m:oMathParaPr>
                <m:jc m:val="left"/>
              </m:oMathParaPr>
              <m:oMath>
                <m:sSubSup>
                  <m:sSubSupPr>
                    <m:ctrlPr>
                      <w:rPr>
                        <w:rFonts w:ascii="Cambria Math" w:hAnsi="Cambria Math"/>
                        <w:i/>
                        <w:sz w:val="18"/>
                        <w:szCs w:val="18"/>
                        <w:highlight w:val="lightGray"/>
                      </w:rPr>
                    </m:ctrlPr>
                  </m:sSubSupPr>
                  <m:e>
                    <m:r>
                      <w:rPr>
                        <w:rFonts w:ascii="Cambria Math" w:hAnsi="Cambria Math"/>
                        <w:sz w:val="18"/>
                        <w:szCs w:val="18"/>
                        <w:highlight w:val="lightGray"/>
                      </w:rPr>
                      <m:t>IVCR</m:t>
                    </m:r>
                  </m:e>
                  <m:sub>
                    <m:r>
                      <w:rPr>
                        <w:rFonts w:ascii="Cambria Math" w:hAnsi="Cambria Math"/>
                        <w:sz w:val="18"/>
                        <w:szCs w:val="18"/>
                        <w:highlight w:val="lightGray"/>
                      </w:rPr>
                      <m:t>it</m:t>
                    </m:r>
                  </m:sub>
                  <m:sup>
                    <m:r>
                      <w:rPr>
                        <w:rFonts w:ascii="Cambria Math" w:hAnsi="Cambria Math"/>
                        <w:sz w:val="18"/>
                        <w:szCs w:val="18"/>
                        <w:highlight w:val="lightGray"/>
                      </w:rPr>
                      <m:t>k</m:t>
                    </m:r>
                  </m:sup>
                </m:sSubSup>
                <m:r>
                  <w:rPr>
                    <w:rFonts w:ascii="Cambria Math" w:hAnsi="Cambria Math"/>
                    <w:sz w:val="18"/>
                    <w:szCs w:val="18"/>
                    <w:highlight w:val="lightGray"/>
                  </w:rPr>
                  <m:t>=</m:t>
                </m:r>
                <m:f>
                  <m:fPr>
                    <m:ctrlPr>
                      <w:rPr>
                        <w:rFonts w:ascii="Cambria Math" w:hAnsi="Cambria Math"/>
                        <w:i/>
                        <w:sz w:val="18"/>
                        <w:szCs w:val="18"/>
                        <w:highlight w:val="lightGray"/>
                      </w:rPr>
                    </m:ctrlPr>
                  </m:fPr>
                  <m:num>
                    <m:sSubSup>
                      <m:sSubSupPr>
                        <m:ctrlPr>
                          <w:rPr>
                            <w:rFonts w:ascii="Cambria Math" w:hAnsi="Cambria Math"/>
                            <w:i/>
                            <w:sz w:val="18"/>
                            <w:szCs w:val="18"/>
                            <w:highlight w:val="lightGray"/>
                          </w:rPr>
                        </m:ctrlPr>
                      </m:sSubSupPr>
                      <m:e>
                        <m:r>
                          <w:rPr>
                            <w:rFonts w:ascii="Cambria Math" w:hAnsi="Cambria Math"/>
                            <w:sz w:val="18"/>
                            <w:szCs w:val="18"/>
                            <w:highlight w:val="lightGray"/>
                          </w:rPr>
                          <m:t>X</m:t>
                        </m:r>
                      </m:e>
                      <m:sub>
                        <m:r>
                          <w:rPr>
                            <w:rFonts w:ascii="Cambria Math" w:hAnsi="Cambria Math"/>
                            <w:sz w:val="18"/>
                            <w:szCs w:val="18"/>
                            <w:highlight w:val="lightGray"/>
                          </w:rPr>
                          <m:t>ijt</m:t>
                        </m:r>
                      </m:sub>
                      <m:sup>
                        <m:r>
                          <w:rPr>
                            <w:rFonts w:ascii="Cambria Math" w:hAnsi="Cambria Math"/>
                            <w:sz w:val="18"/>
                            <w:szCs w:val="18"/>
                            <w:highlight w:val="lightGray"/>
                          </w:rPr>
                          <m:t>k</m:t>
                        </m:r>
                      </m:sup>
                    </m:sSubSup>
                    <m:r>
                      <w:rPr>
                        <w:rFonts w:ascii="Cambria Math" w:hAnsi="Cambria Math"/>
                        <w:sz w:val="18"/>
                        <w:szCs w:val="18"/>
                        <w:highlight w:val="lightGray"/>
                      </w:rPr>
                      <m:t>-</m:t>
                    </m:r>
                    <m:sSubSup>
                      <m:sSubSupPr>
                        <m:ctrlPr>
                          <w:rPr>
                            <w:rFonts w:ascii="Cambria Math" w:hAnsi="Cambria Math"/>
                            <w:i/>
                            <w:sz w:val="18"/>
                            <w:szCs w:val="18"/>
                            <w:highlight w:val="lightGray"/>
                          </w:rPr>
                        </m:ctrlPr>
                      </m:sSubSupPr>
                      <m:e>
                        <m:r>
                          <w:rPr>
                            <w:rFonts w:ascii="Cambria Math" w:hAnsi="Cambria Math"/>
                            <w:sz w:val="18"/>
                            <w:szCs w:val="18"/>
                            <w:highlight w:val="lightGray"/>
                          </w:rPr>
                          <m:t>M</m:t>
                        </m:r>
                      </m:e>
                      <m:sub>
                        <m:r>
                          <w:rPr>
                            <w:rFonts w:ascii="Cambria Math" w:hAnsi="Cambria Math"/>
                            <w:sz w:val="18"/>
                            <w:szCs w:val="18"/>
                            <w:highlight w:val="lightGray"/>
                          </w:rPr>
                          <m:t>ijt</m:t>
                        </m:r>
                      </m:sub>
                      <m:sup>
                        <m:r>
                          <w:rPr>
                            <w:rFonts w:ascii="Cambria Math" w:hAnsi="Cambria Math"/>
                            <w:sz w:val="18"/>
                            <w:szCs w:val="18"/>
                            <w:highlight w:val="lightGray"/>
                          </w:rPr>
                          <m:t>k</m:t>
                        </m:r>
                      </m:sup>
                    </m:sSubSup>
                  </m:num>
                  <m:den>
                    <m:sSub>
                      <m:sSubPr>
                        <m:ctrlPr>
                          <w:rPr>
                            <w:rFonts w:ascii="Cambria Math" w:hAnsi="Cambria Math"/>
                            <w:i/>
                            <w:sz w:val="18"/>
                            <w:szCs w:val="18"/>
                            <w:highlight w:val="lightGray"/>
                          </w:rPr>
                        </m:ctrlPr>
                      </m:sSubPr>
                      <m:e>
                        <m:sSubSup>
                          <m:sSubSupPr>
                            <m:ctrlPr>
                              <w:rPr>
                                <w:rFonts w:ascii="Cambria Math" w:hAnsi="Cambria Math"/>
                                <w:i/>
                                <w:sz w:val="18"/>
                                <w:szCs w:val="18"/>
                                <w:highlight w:val="lightGray"/>
                              </w:rPr>
                            </m:ctrlPr>
                          </m:sSubSupPr>
                          <m:e>
                            <m:r>
                              <w:rPr>
                                <w:rFonts w:ascii="Cambria Math" w:hAnsi="Cambria Math"/>
                                <w:sz w:val="18"/>
                                <w:szCs w:val="18"/>
                                <w:highlight w:val="lightGray"/>
                              </w:rPr>
                              <m:t>X</m:t>
                            </m:r>
                          </m:e>
                          <m:sub>
                            <m:r>
                              <w:rPr>
                                <w:rFonts w:ascii="Cambria Math" w:hAnsi="Cambria Math"/>
                                <w:sz w:val="18"/>
                                <w:szCs w:val="18"/>
                                <w:highlight w:val="lightGray"/>
                              </w:rPr>
                              <m:t>wt</m:t>
                            </m:r>
                          </m:sub>
                          <m:sup>
                            <m:r>
                              <w:rPr>
                                <w:rFonts w:ascii="Cambria Math" w:hAnsi="Cambria Math"/>
                                <w:sz w:val="18"/>
                                <w:szCs w:val="18"/>
                                <w:highlight w:val="lightGray"/>
                              </w:rPr>
                              <m:t>k</m:t>
                            </m:r>
                          </m:sup>
                        </m:sSubSup>
                      </m:e>
                      <m:sub>
                        <m:r>
                          <w:rPr>
                            <w:rFonts w:ascii="Cambria Math" w:hAnsi="Cambria Math"/>
                            <w:sz w:val="18"/>
                            <w:szCs w:val="18"/>
                            <w:highlight w:val="lightGray"/>
                          </w:rPr>
                          <m:t>i</m:t>
                        </m:r>
                      </m:sub>
                    </m:sSub>
                    <m:r>
                      <w:rPr>
                        <w:rFonts w:ascii="Cambria Math" w:hAnsi="Cambria Math"/>
                        <w:sz w:val="18"/>
                        <w:szCs w:val="18"/>
                        <w:highlight w:val="lightGray"/>
                      </w:rPr>
                      <m:t>+</m:t>
                    </m:r>
                    <m:sSub>
                      <m:sSubPr>
                        <m:ctrlPr>
                          <w:rPr>
                            <w:rFonts w:ascii="Cambria Math" w:hAnsi="Cambria Math"/>
                            <w:i/>
                            <w:sz w:val="18"/>
                            <w:szCs w:val="18"/>
                            <w:highlight w:val="lightGray"/>
                          </w:rPr>
                        </m:ctrlPr>
                      </m:sSubPr>
                      <m:e>
                        <m:sSubSup>
                          <m:sSubSupPr>
                            <m:ctrlPr>
                              <w:rPr>
                                <w:rFonts w:ascii="Cambria Math" w:hAnsi="Cambria Math"/>
                                <w:i/>
                                <w:sz w:val="18"/>
                                <w:szCs w:val="18"/>
                                <w:highlight w:val="lightGray"/>
                              </w:rPr>
                            </m:ctrlPr>
                          </m:sSubSupPr>
                          <m:e>
                            <m:r>
                              <w:rPr>
                                <w:rFonts w:ascii="Cambria Math" w:hAnsi="Cambria Math"/>
                                <w:sz w:val="18"/>
                                <w:szCs w:val="18"/>
                                <w:highlight w:val="lightGray"/>
                              </w:rPr>
                              <m:t>M</m:t>
                            </m:r>
                          </m:e>
                          <m:sub>
                            <m:r>
                              <w:rPr>
                                <w:rFonts w:ascii="Cambria Math" w:hAnsi="Cambria Math"/>
                                <w:sz w:val="18"/>
                                <w:szCs w:val="18"/>
                                <w:highlight w:val="lightGray"/>
                              </w:rPr>
                              <m:t>wt</m:t>
                            </m:r>
                          </m:sub>
                          <m:sup>
                            <m:r>
                              <w:rPr>
                                <w:rFonts w:ascii="Cambria Math" w:hAnsi="Cambria Math"/>
                                <w:sz w:val="18"/>
                                <w:szCs w:val="18"/>
                                <w:highlight w:val="lightGray"/>
                              </w:rPr>
                              <m:t>k</m:t>
                            </m:r>
                          </m:sup>
                        </m:sSubSup>
                      </m:e>
                      <m:sub>
                        <m:r>
                          <w:rPr>
                            <w:rFonts w:ascii="Cambria Math" w:hAnsi="Cambria Math"/>
                            <w:sz w:val="18"/>
                            <w:szCs w:val="18"/>
                            <w:highlight w:val="lightGray"/>
                          </w:rPr>
                          <m:t>i</m:t>
                        </m:r>
                      </m:sub>
                    </m:sSub>
                  </m:den>
                </m:f>
              </m:oMath>
            </m:oMathPara>
          </w:p>
          <w:p w:rsidR="00837C20" w:rsidRPr="008E6055" w:rsidRDefault="00837C20" w:rsidP="00653B39">
            <w:pPr>
              <w:jc w:val="center"/>
              <w:rPr>
                <w:sz w:val="18"/>
                <w:szCs w:val="18"/>
              </w:rPr>
            </w:pPr>
          </w:p>
        </w:tc>
        <w:tc>
          <w:tcPr>
            <w:tcW w:w="1250" w:type="pct"/>
            <w:shd w:val="clear" w:color="auto" w:fill="D9D9D9" w:themeFill="background1" w:themeFillShade="D9"/>
            <w:noWrap/>
            <w:vAlign w:val="center"/>
          </w:tcPr>
          <w:p w:rsidR="00837C20" w:rsidRPr="00311ABB" w:rsidRDefault="00650550" w:rsidP="00653B39">
            <w:pPr>
              <w:jc w:val="center"/>
              <w:rPr>
                <w:rFonts w:eastAsiaTheme="minorEastAsia"/>
                <w:sz w:val="18"/>
                <w:szCs w:val="18"/>
              </w:rPr>
            </w:pPr>
            <m:oMath>
              <m:sSubSup>
                <m:sSubSupPr>
                  <m:ctrlPr>
                    <w:rPr>
                      <w:rFonts w:ascii="Cambria Math" w:hAnsi="Cambria Math"/>
                      <w:i/>
                      <w:sz w:val="18"/>
                      <w:szCs w:val="18"/>
                      <w:highlight w:val="lightGray"/>
                    </w:rPr>
                  </m:ctrlPr>
                </m:sSubSupPr>
                <m:e>
                  <m:r>
                    <w:rPr>
                      <w:rFonts w:ascii="Cambria Math" w:hAnsi="Cambria Math"/>
                      <w:sz w:val="18"/>
                      <w:szCs w:val="18"/>
                      <w:highlight w:val="lightGray"/>
                    </w:rPr>
                    <m:t>IB</m:t>
                  </m:r>
                </m:e>
                <m:sub>
                  <m:r>
                    <w:rPr>
                      <w:rFonts w:ascii="Cambria Math" w:hAnsi="Cambria Math"/>
                      <w:sz w:val="18"/>
                      <w:szCs w:val="18"/>
                      <w:highlight w:val="lightGray"/>
                    </w:rPr>
                    <m:t>ij</m:t>
                  </m:r>
                </m:sub>
                <m:sup>
                  <m:r>
                    <w:rPr>
                      <w:rFonts w:ascii="Cambria Math" w:hAnsi="Cambria Math"/>
                      <w:sz w:val="18"/>
                      <w:szCs w:val="18"/>
                      <w:highlight w:val="lightGray"/>
                    </w:rPr>
                    <m:t>k</m:t>
                  </m:r>
                </m:sup>
              </m:sSubSup>
            </m:oMath>
            <w:r w:rsidR="00837C20" w:rsidRPr="008E6055">
              <w:rPr>
                <w:rFonts w:eastAsiaTheme="minorEastAsia"/>
                <w:sz w:val="18"/>
                <w:szCs w:val="18"/>
                <w:highlight w:val="lightGray"/>
              </w:rPr>
              <w:t xml:space="preserve"> = </w:t>
            </w:r>
            <m:oMath>
              <m:f>
                <m:fPr>
                  <m:ctrlPr>
                    <w:rPr>
                      <w:rFonts w:ascii="Cambria Math" w:eastAsiaTheme="minorEastAsia" w:hAnsi="Cambria Math"/>
                      <w:i/>
                      <w:sz w:val="18"/>
                      <w:szCs w:val="18"/>
                      <w:highlight w:val="lightGray"/>
                    </w:rPr>
                  </m:ctrlPr>
                </m:fPr>
                <m:num>
                  <m:f>
                    <m:fPr>
                      <m:type m:val="skw"/>
                      <m:ctrlPr>
                        <w:rPr>
                          <w:rFonts w:ascii="Cambria Math" w:eastAsiaTheme="minorEastAsia" w:hAnsi="Cambria Math"/>
                          <w:i/>
                          <w:sz w:val="18"/>
                          <w:szCs w:val="18"/>
                          <w:highlight w:val="lightGray"/>
                        </w:rPr>
                      </m:ctrlPr>
                    </m:fPr>
                    <m:num>
                      <m:sSubSup>
                        <m:sSubSupPr>
                          <m:ctrlPr>
                            <w:rPr>
                              <w:rFonts w:ascii="Cambria Math" w:eastAsiaTheme="minorEastAsia" w:hAnsi="Cambria Math"/>
                              <w:i/>
                              <w:sz w:val="18"/>
                              <w:szCs w:val="18"/>
                              <w:highlight w:val="lightGray"/>
                            </w:rPr>
                          </m:ctrlPr>
                        </m:sSubSupPr>
                        <m:e>
                          <m:r>
                            <w:rPr>
                              <w:rFonts w:ascii="Cambria Math" w:eastAsiaTheme="minorEastAsia" w:hAnsi="Cambria Math"/>
                              <w:sz w:val="18"/>
                              <w:szCs w:val="18"/>
                              <w:highlight w:val="lightGray"/>
                            </w:rPr>
                            <m:t>X</m:t>
                          </m:r>
                        </m:e>
                        <m:sub>
                          <m:r>
                            <w:rPr>
                              <w:rFonts w:ascii="Cambria Math" w:eastAsiaTheme="minorEastAsia" w:hAnsi="Cambria Math"/>
                              <w:sz w:val="18"/>
                              <w:szCs w:val="18"/>
                              <w:highlight w:val="lightGray"/>
                            </w:rPr>
                            <m:t>ij</m:t>
                          </m:r>
                        </m:sub>
                        <m:sup>
                          <m:r>
                            <w:rPr>
                              <w:rFonts w:ascii="Cambria Math" w:eastAsiaTheme="minorEastAsia" w:hAnsi="Cambria Math"/>
                              <w:sz w:val="18"/>
                              <w:szCs w:val="18"/>
                              <w:highlight w:val="lightGray"/>
                            </w:rPr>
                            <m:t>k</m:t>
                          </m:r>
                        </m:sup>
                      </m:sSubSup>
                    </m:num>
                    <m:den>
                      <m:sSub>
                        <m:sSubPr>
                          <m:ctrlPr>
                            <w:rPr>
                              <w:rFonts w:ascii="Cambria Math" w:eastAsiaTheme="minorEastAsia" w:hAnsi="Cambria Math"/>
                              <w:i/>
                              <w:sz w:val="18"/>
                              <w:szCs w:val="18"/>
                              <w:highlight w:val="lightGray"/>
                            </w:rPr>
                          </m:ctrlPr>
                        </m:sSubPr>
                        <m:e>
                          <m:r>
                            <w:rPr>
                              <w:rFonts w:ascii="Cambria Math" w:eastAsiaTheme="minorEastAsia" w:hAnsi="Cambria Math"/>
                              <w:sz w:val="18"/>
                              <w:szCs w:val="18"/>
                              <w:highlight w:val="lightGray"/>
                            </w:rPr>
                            <m:t>XT</m:t>
                          </m:r>
                        </m:e>
                        <m:sub>
                          <m:r>
                            <w:rPr>
                              <w:rFonts w:ascii="Cambria Math" w:eastAsiaTheme="minorEastAsia" w:hAnsi="Cambria Math"/>
                              <w:sz w:val="18"/>
                              <w:szCs w:val="18"/>
                              <w:highlight w:val="lightGray"/>
                            </w:rPr>
                            <m:t>ij</m:t>
                          </m:r>
                        </m:sub>
                      </m:sSub>
                    </m:den>
                  </m:f>
                </m:num>
                <m:den>
                  <m:f>
                    <m:fPr>
                      <m:type m:val="skw"/>
                      <m:ctrlPr>
                        <w:rPr>
                          <w:rFonts w:ascii="Cambria Math" w:eastAsiaTheme="minorEastAsia" w:hAnsi="Cambria Math"/>
                          <w:i/>
                          <w:sz w:val="18"/>
                          <w:szCs w:val="18"/>
                          <w:highlight w:val="lightGray"/>
                        </w:rPr>
                      </m:ctrlPr>
                    </m:fPr>
                    <m:num>
                      <m:sSubSup>
                        <m:sSubSupPr>
                          <m:ctrlPr>
                            <w:rPr>
                              <w:rFonts w:ascii="Cambria Math" w:eastAsiaTheme="minorEastAsia" w:hAnsi="Cambria Math"/>
                              <w:i/>
                              <w:sz w:val="18"/>
                              <w:szCs w:val="18"/>
                              <w:highlight w:val="lightGray"/>
                            </w:rPr>
                          </m:ctrlPr>
                        </m:sSubSupPr>
                        <m:e>
                          <m:r>
                            <w:rPr>
                              <w:rFonts w:ascii="Cambria Math" w:eastAsiaTheme="minorEastAsia" w:hAnsi="Cambria Math"/>
                              <w:sz w:val="18"/>
                              <w:szCs w:val="18"/>
                              <w:highlight w:val="lightGray"/>
                            </w:rPr>
                            <m:t>X</m:t>
                          </m:r>
                        </m:e>
                        <m:sub>
                          <m:r>
                            <w:rPr>
                              <w:rFonts w:ascii="Cambria Math" w:eastAsiaTheme="minorEastAsia" w:hAnsi="Cambria Math"/>
                              <w:sz w:val="18"/>
                              <w:szCs w:val="18"/>
                              <w:highlight w:val="lightGray"/>
                            </w:rPr>
                            <m:t>iw</m:t>
                          </m:r>
                        </m:sub>
                        <m:sup>
                          <m:r>
                            <w:rPr>
                              <w:rFonts w:ascii="Cambria Math" w:eastAsiaTheme="minorEastAsia" w:hAnsi="Cambria Math"/>
                              <w:sz w:val="18"/>
                              <w:szCs w:val="18"/>
                              <w:highlight w:val="lightGray"/>
                            </w:rPr>
                            <m:t>k</m:t>
                          </m:r>
                        </m:sup>
                      </m:sSubSup>
                    </m:num>
                    <m:den>
                      <m:sSub>
                        <m:sSubPr>
                          <m:ctrlPr>
                            <w:rPr>
                              <w:rFonts w:ascii="Cambria Math" w:eastAsiaTheme="minorEastAsia" w:hAnsi="Cambria Math"/>
                              <w:i/>
                              <w:sz w:val="18"/>
                              <w:szCs w:val="18"/>
                              <w:highlight w:val="lightGray"/>
                            </w:rPr>
                          </m:ctrlPr>
                        </m:sSubPr>
                        <m:e>
                          <m:r>
                            <w:rPr>
                              <w:rFonts w:ascii="Cambria Math" w:eastAsiaTheme="minorEastAsia" w:hAnsi="Cambria Math"/>
                              <w:sz w:val="18"/>
                              <w:szCs w:val="18"/>
                              <w:highlight w:val="lightGray"/>
                            </w:rPr>
                            <m:t>XT</m:t>
                          </m:r>
                        </m:e>
                        <m:sub>
                          <m:r>
                            <w:rPr>
                              <w:rFonts w:ascii="Cambria Math" w:eastAsiaTheme="minorEastAsia" w:hAnsi="Cambria Math"/>
                              <w:sz w:val="18"/>
                              <w:szCs w:val="18"/>
                              <w:highlight w:val="lightGray"/>
                            </w:rPr>
                            <m:t>iw</m:t>
                          </m:r>
                        </m:sub>
                      </m:sSub>
                    </m:den>
                  </m:f>
                </m:den>
              </m:f>
            </m:oMath>
          </w:p>
        </w:tc>
      </w:tr>
      <w:tr w:rsidR="00837C20" w:rsidRPr="006D41B4" w:rsidTr="00837C20">
        <w:trPr>
          <w:trHeight w:val="1962"/>
        </w:trPr>
        <w:tc>
          <w:tcPr>
            <w:tcW w:w="1250" w:type="pct"/>
            <w:shd w:val="clear" w:color="auto" w:fill="D9D9D9" w:themeFill="background1" w:themeFillShade="D9"/>
            <w:noWrap/>
          </w:tcPr>
          <w:p w:rsidR="00837C20" w:rsidRPr="008E6055" w:rsidRDefault="00837C20" w:rsidP="00837C20">
            <w:pPr>
              <w:rPr>
                <w:rFonts w:eastAsia="Times New Roman"/>
                <w:color w:val="000000"/>
                <w:sz w:val="18"/>
                <w:szCs w:val="18"/>
                <w:lang w:eastAsia="es-CO"/>
              </w:rPr>
            </w:pPr>
            <w:r w:rsidRPr="008E6055">
              <w:rPr>
                <w:sz w:val="18"/>
                <w:szCs w:val="18"/>
              </w:rPr>
              <w:t>La balanza comercial relativa</w:t>
            </w:r>
            <w:r>
              <w:rPr>
                <w:sz w:val="18"/>
                <w:szCs w:val="18"/>
              </w:rPr>
              <w:t xml:space="preserve"> sectorial</w:t>
            </w:r>
            <w:r w:rsidRPr="008E6055">
              <w:rPr>
                <w:sz w:val="18"/>
                <w:szCs w:val="18"/>
              </w:rPr>
              <w:t xml:space="preserve"> mide la tendencia importadora o exportadora del capítulo.  </w:t>
            </w:r>
          </w:p>
        </w:tc>
        <w:tc>
          <w:tcPr>
            <w:tcW w:w="1250" w:type="pct"/>
            <w:shd w:val="clear" w:color="auto" w:fill="D9D9D9" w:themeFill="background1" w:themeFillShade="D9"/>
            <w:noWrap/>
          </w:tcPr>
          <w:p w:rsidR="00837C20" w:rsidRPr="008E6055" w:rsidRDefault="00837C20" w:rsidP="00837C20">
            <w:pPr>
              <w:rPr>
                <w:rFonts w:eastAsia="Times New Roman"/>
                <w:color w:val="000000"/>
                <w:sz w:val="18"/>
                <w:szCs w:val="18"/>
                <w:lang w:eastAsia="es-CO"/>
              </w:rPr>
            </w:pPr>
            <w:r w:rsidRPr="008E6055">
              <w:rPr>
                <w:rFonts w:eastAsia="Times New Roman"/>
                <w:sz w:val="18"/>
                <w:szCs w:val="18"/>
                <w:lang w:eastAsia="es-CO"/>
              </w:rPr>
              <w:t xml:space="preserve">El numerador se refiere a la balanza comercial entre el país j y </w:t>
            </w:r>
            <w:r>
              <w:rPr>
                <w:rFonts w:eastAsia="Times New Roman"/>
                <w:sz w:val="18"/>
                <w:szCs w:val="18"/>
                <w:lang w:eastAsia="es-CO"/>
              </w:rPr>
              <w:t>la región</w:t>
            </w:r>
            <w:r w:rsidRPr="008E6055">
              <w:rPr>
                <w:rFonts w:eastAsia="Times New Roman"/>
                <w:sz w:val="18"/>
                <w:szCs w:val="18"/>
                <w:lang w:eastAsia="es-CO"/>
              </w:rPr>
              <w:t xml:space="preserve"> de referencia para el sector i; el denominador es el comercio total bilateral entre el país i y la región de referencia.</w:t>
            </w:r>
          </w:p>
        </w:tc>
        <w:tc>
          <w:tcPr>
            <w:tcW w:w="1250" w:type="pct"/>
            <w:shd w:val="clear" w:color="auto" w:fill="D9D9D9" w:themeFill="background1" w:themeFillShade="D9"/>
            <w:noWrap/>
          </w:tcPr>
          <w:p w:rsidR="00837C20" w:rsidRPr="008E6055" w:rsidRDefault="00837C20" w:rsidP="00837C20">
            <w:pPr>
              <w:rPr>
                <w:rFonts w:eastAsia="Times New Roman"/>
                <w:color w:val="000000"/>
                <w:sz w:val="18"/>
                <w:szCs w:val="18"/>
                <w:lang w:eastAsia="es-CO"/>
              </w:rPr>
            </w:pPr>
            <w:r w:rsidRPr="008E6055">
              <w:rPr>
                <w:sz w:val="18"/>
                <w:szCs w:val="18"/>
              </w:rPr>
              <w:t xml:space="preserve">Establece una relación entre el saldo comercial de una región en un mercado específico para un </w:t>
            </w:r>
            <w:r>
              <w:rPr>
                <w:sz w:val="18"/>
                <w:szCs w:val="18"/>
              </w:rPr>
              <w:t>sector</w:t>
            </w:r>
            <w:r w:rsidRPr="008E6055">
              <w:rPr>
                <w:sz w:val="18"/>
                <w:szCs w:val="18"/>
              </w:rPr>
              <w:t xml:space="preserve"> determinado; con el total del intercambio comercial de la región para </w:t>
            </w:r>
            <w:r>
              <w:rPr>
                <w:sz w:val="18"/>
                <w:szCs w:val="18"/>
              </w:rPr>
              <w:t>dicho sector</w:t>
            </w:r>
          </w:p>
        </w:tc>
        <w:tc>
          <w:tcPr>
            <w:tcW w:w="1250" w:type="pct"/>
            <w:shd w:val="clear" w:color="auto" w:fill="D9D9D9" w:themeFill="background1" w:themeFillShade="D9"/>
            <w:noWrap/>
          </w:tcPr>
          <w:p w:rsidR="00837C20" w:rsidRPr="006D41B4" w:rsidRDefault="00837C20" w:rsidP="00837C20">
            <w:pPr>
              <w:rPr>
                <w:rFonts w:eastAsia="Times New Roman"/>
                <w:color w:val="000000"/>
                <w:sz w:val="18"/>
                <w:szCs w:val="18"/>
                <w:lang w:eastAsia="es-CO"/>
              </w:rPr>
            </w:pPr>
            <w:r>
              <w:rPr>
                <w:sz w:val="18"/>
                <w:szCs w:val="18"/>
              </w:rPr>
              <w:t>E</w:t>
            </w:r>
            <w:r w:rsidRPr="006D41B4">
              <w:rPr>
                <w:sz w:val="18"/>
                <w:szCs w:val="18"/>
              </w:rPr>
              <w:t>stablece una relación entre participación de las exportaciones del producto al mercado destino frente a las exportaciones del producto con las exportaciones totales</w:t>
            </w:r>
            <w:r>
              <w:rPr>
                <w:sz w:val="18"/>
                <w:szCs w:val="18"/>
              </w:rPr>
              <w:t>.</w:t>
            </w:r>
          </w:p>
        </w:tc>
      </w:tr>
      <w:tr w:rsidR="00837C20" w:rsidRPr="006D41B4" w:rsidTr="00837C20">
        <w:trPr>
          <w:trHeight w:val="855"/>
        </w:trPr>
        <w:tc>
          <w:tcPr>
            <w:tcW w:w="1250" w:type="pct"/>
            <w:shd w:val="clear" w:color="auto" w:fill="D9D9D9" w:themeFill="background1" w:themeFillShade="D9"/>
            <w:noWrap/>
          </w:tcPr>
          <w:p w:rsidR="00837C20" w:rsidRDefault="00837C20" w:rsidP="00837C20">
            <w:pPr>
              <w:rPr>
                <w:sz w:val="18"/>
                <w:szCs w:val="18"/>
              </w:rPr>
            </w:pPr>
            <w:r>
              <w:rPr>
                <w:sz w:val="18"/>
                <w:szCs w:val="18"/>
              </w:rPr>
              <w:t xml:space="preserve">En el numerador se establece la balanza comercial del capítulo para Santander.  </w:t>
            </w:r>
          </w:p>
          <w:p w:rsidR="00837C20" w:rsidRDefault="00837C20" w:rsidP="00837C20">
            <w:pPr>
              <w:rPr>
                <w:sz w:val="18"/>
                <w:szCs w:val="18"/>
              </w:rPr>
            </w:pPr>
            <w:r>
              <w:rPr>
                <w:sz w:val="18"/>
                <w:szCs w:val="18"/>
              </w:rPr>
              <w:t>En el denominador se suman las exportaciones e importaciones totales del capítulo de Santander.</w:t>
            </w:r>
          </w:p>
          <w:p w:rsidR="00837C20" w:rsidRPr="008E6055" w:rsidRDefault="00837C20" w:rsidP="00837C20">
            <w:pPr>
              <w:rPr>
                <w:sz w:val="18"/>
                <w:szCs w:val="18"/>
              </w:rPr>
            </w:pPr>
            <w:r>
              <w:rPr>
                <w:sz w:val="18"/>
                <w:szCs w:val="18"/>
              </w:rPr>
              <w:t>No se hace referencia a un mercado específico</w:t>
            </w:r>
          </w:p>
        </w:tc>
        <w:tc>
          <w:tcPr>
            <w:tcW w:w="1250" w:type="pct"/>
            <w:shd w:val="clear" w:color="auto" w:fill="D9D9D9" w:themeFill="background1" w:themeFillShade="D9"/>
            <w:noWrap/>
          </w:tcPr>
          <w:p w:rsidR="00837C20" w:rsidRPr="008E6055" w:rsidRDefault="00837C20" w:rsidP="00837C20">
            <w:pPr>
              <w:rPr>
                <w:rFonts w:eastAsia="Times New Roman"/>
                <w:sz w:val="18"/>
                <w:szCs w:val="18"/>
                <w:lang w:eastAsia="es-CO"/>
              </w:rPr>
            </w:pPr>
            <w:r>
              <w:rPr>
                <w:rFonts w:eastAsia="Times New Roman"/>
                <w:sz w:val="18"/>
                <w:szCs w:val="18"/>
                <w:lang w:eastAsia="es-CO"/>
              </w:rPr>
              <w:t>En el numerador se calcula la Balanza comercial de cada sector entre Santander y Estados Unidos. En el denominador se establece el total del intercambio comercial entre Santander y Estados Unidos.</w:t>
            </w:r>
          </w:p>
        </w:tc>
        <w:tc>
          <w:tcPr>
            <w:tcW w:w="1250" w:type="pct"/>
            <w:shd w:val="clear" w:color="auto" w:fill="D9D9D9" w:themeFill="background1" w:themeFillShade="D9"/>
            <w:noWrap/>
          </w:tcPr>
          <w:p w:rsidR="00837C20" w:rsidRDefault="00837C20" w:rsidP="00837C20">
            <w:pPr>
              <w:rPr>
                <w:sz w:val="18"/>
                <w:szCs w:val="18"/>
              </w:rPr>
            </w:pPr>
            <w:r>
              <w:rPr>
                <w:sz w:val="18"/>
                <w:szCs w:val="18"/>
              </w:rPr>
              <w:t>En el numerador se establece una diferencia entre las exportaciones del capítulo de Santander a Estados Unidos con las importaciones de dicho capítulo realizadas por Santander provenientes de Estados Unidos.</w:t>
            </w:r>
          </w:p>
          <w:p w:rsidR="00837C20" w:rsidRPr="008E6055" w:rsidRDefault="00837C20" w:rsidP="00837C20">
            <w:pPr>
              <w:rPr>
                <w:sz w:val="18"/>
                <w:szCs w:val="18"/>
              </w:rPr>
            </w:pPr>
            <w:r>
              <w:rPr>
                <w:sz w:val="18"/>
                <w:szCs w:val="18"/>
              </w:rPr>
              <w:t>En el denominador se suman las exportaciones del capítulo realizadas por Santander a todo destino con las importaciones de Santander del mismo capítulo provenientes de todos los destinos.</w:t>
            </w:r>
          </w:p>
        </w:tc>
        <w:tc>
          <w:tcPr>
            <w:tcW w:w="1250" w:type="pct"/>
            <w:shd w:val="clear" w:color="auto" w:fill="D9D9D9" w:themeFill="background1" w:themeFillShade="D9"/>
            <w:noWrap/>
          </w:tcPr>
          <w:p w:rsidR="00837C20" w:rsidRDefault="00837C20" w:rsidP="00837C20">
            <w:pPr>
              <w:rPr>
                <w:sz w:val="18"/>
                <w:szCs w:val="18"/>
              </w:rPr>
            </w:pPr>
            <w:r>
              <w:rPr>
                <w:sz w:val="18"/>
                <w:szCs w:val="18"/>
              </w:rPr>
              <w:t>En el numerador se establece una relación entre las exportaciones del capítulo realizadas por Santander hacia Estados Unidos con las exportaciones totales de Santander a ese mismo mercado.  En el denominador se establece una relación entre las exportaciones totales del capítulo realizadas por Santander  a todo destino, con las exportaciones totales de Santander a todo destino.</w:t>
            </w:r>
          </w:p>
        </w:tc>
      </w:tr>
      <w:tr w:rsidR="00837C20" w:rsidRPr="008E6055" w:rsidTr="00837C20">
        <w:trPr>
          <w:trHeight w:val="1753"/>
        </w:trPr>
        <w:tc>
          <w:tcPr>
            <w:tcW w:w="1250" w:type="pct"/>
            <w:tcBorders>
              <w:bottom w:val="single" w:sz="4" w:space="0" w:color="auto"/>
            </w:tcBorders>
            <w:shd w:val="clear" w:color="auto" w:fill="D9D9D9" w:themeFill="background1" w:themeFillShade="D9"/>
            <w:noWrap/>
          </w:tcPr>
          <w:p w:rsidR="00837C20" w:rsidRPr="008E6055" w:rsidRDefault="00837C20" w:rsidP="00653B39">
            <w:pPr>
              <w:rPr>
                <w:rFonts w:eastAsia="Times New Roman"/>
                <w:color w:val="000000"/>
                <w:sz w:val="18"/>
                <w:szCs w:val="18"/>
                <w:lang w:eastAsia="es-CO"/>
              </w:rPr>
            </w:pPr>
            <w:r>
              <w:rPr>
                <w:sz w:val="18"/>
                <w:szCs w:val="18"/>
              </w:rPr>
              <w:lastRenderedPageBreak/>
              <w:t>De -1 a 1</w:t>
            </w:r>
            <w:r w:rsidRPr="008E6055">
              <w:rPr>
                <w:sz w:val="18"/>
                <w:szCs w:val="18"/>
              </w:rPr>
              <w:t xml:space="preserve">  </w:t>
            </w:r>
          </w:p>
        </w:tc>
        <w:tc>
          <w:tcPr>
            <w:tcW w:w="1250" w:type="pct"/>
            <w:tcBorders>
              <w:bottom w:val="single" w:sz="4" w:space="0" w:color="auto"/>
            </w:tcBorders>
            <w:shd w:val="clear" w:color="auto" w:fill="D9D9D9" w:themeFill="background1" w:themeFillShade="D9"/>
            <w:noWrap/>
          </w:tcPr>
          <w:p w:rsidR="00837C20" w:rsidRPr="008E6055" w:rsidRDefault="00837C20" w:rsidP="00653B39">
            <w:pPr>
              <w:rPr>
                <w:rFonts w:eastAsia="Times New Roman"/>
                <w:color w:val="000000"/>
                <w:sz w:val="18"/>
                <w:szCs w:val="18"/>
                <w:lang w:eastAsia="es-CO"/>
              </w:rPr>
            </w:pPr>
            <w:r>
              <w:rPr>
                <w:sz w:val="18"/>
                <w:szCs w:val="18"/>
              </w:rPr>
              <w:t>De -1 a 1</w:t>
            </w:r>
            <w:r w:rsidRPr="008E6055">
              <w:rPr>
                <w:sz w:val="18"/>
                <w:szCs w:val="18"/>
              </w:rPr>
              <w:t xml:space="preserve">  </w:t>
            </w:r>
          </w:p>
        </w:tc>
        <w:tc>
          <w:tcPr>
            <w:tcW w:w="1250" w:type="pct"/>
            <w:tcBorders>
              <w:bottom w:val="single" w:sz="4" w:space="0" w:color="auto"/>
            </w:tcBorders>
            <w:shd w:val="clear" w:color="auto" w:fill="D9D9D9" w:themeFill="background1" w:themeFillShade="D9"/>
            <w:noWrap/>
          </w:tcPr>
          <w:p w:rsidR="00837C20" w:rsidRPr="008E6055" w:rsidRDefault="00837C20" w:rsidP="00837C20">
            <w:pPr>
              <w:rPr>
                <w:rFonts w:eastAsia="Times New Roman"/>
                <w:color w:val="000000"/>
                <w:sz w:val="18"/>
                <w:szCs w:val="18"/>
                <w:lang w:eastAsia="es-CO"/>
              </w:rPr>
            </w:pPr>
            <w:r w:rsidRPr="008E6055">
              <w:rPr>
                <w:sz w:val="18"/>
                <w:szCs w:val="18"/>
              </w:rPr>
              <w:t xml:space="preserve">El indicador puede tomar valores positivos o negativos </w:t>
            </w:r>
          </w:p>
        </w:tc>
        <w:tc>
          <w:tcPr>
            <w:tcW w:w="1250" w:type="pct"/>
            <w:tcBorders>
              <w:bottom w:val="single" w:sz="4" w:space="0" w:color="auto"/>
            </w:tcBorders>
            <w:shd w:val="clear" w:color="auto" w:fill="D9D9D9" w:themeFill="background1" w:themeFillShade="D9"/>
            <w:noWrap/>
          </w:tcPr>
          <w:p w:rsidR="00837C20" w:rsidRPr="006D41B4" w:rsidRDefault="00837C20" w:rsidP="00837C20">
            <w:pPr>
              <w:rPr>
                <w:sz w:val="18"/>
                <w:szCs w:val="18"/>
              </w:rPr>
            </w:pPr>
            <w:r w:rsidRPr="006D41B4">
              <w:rPr>
                <w:sz w:val="18"/>
                <w:szCs w:val="18"/>
              </w:rPr>
              <w:t>Mayor de 0,33: Existe ventaja para la región</w:t>
            </w:r>
            <w:r>
              <w:rPr>
                <w:sz w:val="18"/>
                <w:szCs w:val="18"/>
              </w:rPr>
              <w:t>.</w:t>
            </w:r>
          </w:p>
          <w:p w:rsidR="00837C20" w:rsidRPr="006D41B4" w:rsidRDefault="00837C20" w:rsidP="00653B39">
            <w:pPr>
              <w:rPr>
                <w:sz w:val="18"/>
                <w:szCs w:val="18"/>
              </w:rPr>
            </w:pPr>
            <w:r w:rsidRPr="006D41B4">
              <w:rPr>
                <w:sz w:val="18"/>
                <w:szCs w:val="18"/>
              </w:rPr>
              <w:t>Menor de  -0,33: Existe desventaja para la región.</w:t>
            </w:r>
          </w:p>
          <w:p w:rsidR="00837C20" w:rsidRPr="006D41B4" w:rsidRDefault="00837C20" w:rsidP="00653B39">
            <w:pPr>
              <w:rPr>
                <w:rFonts w:eastAsia="Times New Roman"/>
                <w:b/>
                <w:color w:val="000000"/>
                <w:sz w:val="18"/>
                <w:szCs w:val="18"/>
                <w:lang w:eastAsia="es-CO"/>
              </w:rPr>
            </w:pPr>
            <w:r w:rsidRPr="006D41B4">
              <w:rPr>
                <w:sz w:val="18"/>
                <w:szCs w:val="18"/>
              </w:rPr>
              <w:t>Entre -0,33 y 0,33: No se evidencia ventaja ni desventaja</w:t>
            </w:r>
            <w:r>
              <w:t>.</w:t>
            </w:r>
            <w:r w:rsidRPr="006D41B4">
              <w:rPr>
                <w:rFonts w:eastAsia="Times New Roman"/>
                <w:b/>
                <w:color w:val="000000"/>
                <w:sz w:val="18"/>
                <w:szCs w:val="18"/>
                <w:lang w:eastAsia="es-CO"/>
              </w:rPr>
              <w:t xml:space="preserve"> </w:t>
            </w:r>
          </w:p>
        </w:tc>
      </w:tr>
    </w:tbl>
    <w:p w:rsidR="00653B39" w:rsidRDefault="0096159F" w:rsidP="0096159F">
      <w:r>
        <w:t>Elaboración propia</w:t>
      </w:r>
    </w:p>
    <w:p w:rsidR="00950EA8" w:rsidRDefault="00950EA8" w:rsidP="00653B39"/>
    <w:p w:rsidR="0096159F" w:rsidRPr="0096159F" w:rsidRDefault="00950EA8" w:rsidP="0096159F">
      <w:pPr>
        <w:shd w:val="clear" w:color="auto" w:fill="FFFFFF"/>
        <w:spacing w:before="100" w:beforeAutospacing="1" w:after="100" w:afterAutospacing="1"/>
        <w:ind w:left="357" w:hanging="357"/>
      </w:pPr>
      <w:r w:rsidRPr="0096159F">
        <w:rPr>
          <w:rFonts w:ascii="Tahoma" w:eastAsia="Times New Roman" w:hAnsi="Tahoma" w:cs="Tahoma"/>
          <w:b/>
          <w:bCs/>
          <w:color w:val="212121"/>
          <w:lang w:val="es-US" w:eastAsia="es-CO"/>
        </w:rPr>
        <w:t>Análisis de resultados. </w:t>
      </w:r>
    </w:p>
    <w:p w:rsidR="00653B39" w:rsidRDefault="00653B39" w:rsidP="0096159F">
      <w:pPr>
        <w:shd w:val="clear" w:color="auto" w:fill="FFFFFF"/>
        <w:spacing w:before="100" w:beforeAutospacing="1" w:after="100" w:afterAutospacing="1"/>
      </w:pPr>
      <w:r>
        <w:t>Inicialmente se utiliza el indicador de Balanza comercial relativa para cada capítulo arancelario de la oferta exportadora de Santander, para determinar la tendencia hacia el comercio internacional de cada sector.  Posteriormente se determina la balanza comercial relativa de cada sector respecto a Estados Unidos, que es el primer país destino de las exportaciones de Santander para inferir la dinámica de comercio exterior en dicho mercado.</w:t>
      </w:r>
    </w:p>
    <w:p w:rsidR="00653B39" w:rsidRDefault="00653B39" w:rsidP="0096159F">
      <w:r>
        <w:t>Seguidamente se utiliza el indicador de ventaja comparativa revelada de cada capítulo respecto al mercado de Estados Unidos, y el índice de Balassa para determinar la dinámica comercial de cada sector en ese mercado.</w:t>
      </w:r>
    </w:p>
    <w:p w:rsidR="00653B39" w:rsidRDefault="00653B39" w:rsidP="00653B39"/>
    <w:p w:rsidR="00653B39" w:rsidRDefault="00653B39" w:rsidP="0096159F">
      <w:r>
        <w:t>Además del  análisis del dinamismo comercial de las exportaciones de Santander a través de indicadores se busca también conocer la aplicación de estos índices y su respectiva interpretación e inferir en que otros escenarios o investigaciones se pueden dar uso a este conjunto de mediciones.  Se hace el cálculo de los indicadores en una serie consecutiva de tiempo (entre 2006 – 2011) para analizar también el desempeño de cada sector.</w:t>
      </w:r>
    </w:p>
    <w:p w:rsidR="00653B39" w:rsidRDefault="00653B39" w:rsidP="00653B39"/>
    <w:p w:rsidR="00653B39" w:rsidRDefault="00653B39" w:rsidP="0096159F">
      <w:r>
        <w:t>BALANZA COMERCIAL RELATIVA SECTORIAL.</w:t>
      </w:r>
    </w:p>
    <w:p w:rsidR="00653B39" w:rsidRDefault="00653B39" w:rsidP="00653B39"/>
    <w:p w:rsidR="00653B39" w:rsidRDefault="00653B39" w:rsidP="0096159F">
      <w:r>
        <w:t xml:space="preserve">Establece una relación entre la balanza comercial y el intercambio comercial de una región, de un sector o de un producto específico.  </w:t>
      </w:r>
    </w:p>
    <w:p w:rsidR="00653B39" w:rsidRDefault="00653B39" w:rsidP="00653B39"/>
    <w:p w:rsidR="00653B39" w:rsidRPr="003F53FD" w:rsidRDefault="00653B39" w:rsidP="0096159F">
      <w:r w:rsidRPr="003F53FD">
        <w:t>La balanza comercial relativa mide la tendencia importadora o exportadora del capítulo.  Los valores de este indicador están ente -1 y 1.  Cuando el valor se acerca a -1 indica que es un sector donde solo se realizan importaciones.  Cuando el valor es 1, o se acerca a 1, significa que es un sector donde solo se exporta.  Los valores intermedios negativos, reflejan que son mayores las importaciones que las exportaciones y los valores intermedios positivos, muestran que las exportaciones son mayores que las importaciones.  Desde un enfoque competitivo, se entiende que tiene más competitividad en la región aquel o aquellos sectores con valores positivos cercanos a 1.</w:t>
      </w:r>
    </w:p>
    <w:p w:rsidR="00653B39" w:rsidRDefault="00653B39" w:rsidP="00653B39"/>
    <w:p w:rsidR="00653B39" w:rsidRDefault="00653B39" w:rsidP="00653B39">
      <w:r>
        <w:t>Para el caso de los capítulos arancelarios exportadores de Santander, se calcula de la siguiente forma:</w:t>
      </w:r>
    </w:p>
    <w:p w:rsidR="0096159F" w:rsidRDefault="0096159F" w:rsidP="00653B39"/>
    <w:p w:rsidR="00653B39" w:rsidRPr="007842C9" w:rsidRDefault="00653B39" w:rsidP="00653B39">
      <w:pPr>
        <w:rPr>
          <w:rFonts w:eastAsiaTheme="minorEastAsia"/>
          <w:lang w:val="en-US"/>
        </w:rPr>
      </w:pPr>
      <w:r w:rsidRPr="006F6FF5">
        <w:t xml:space="preserve"> </w:t>
      </w:r>
      <w:r w:rsidRPr="007842C9">
        <w:rPr>
          <w:highlight w:val="lightGray"/>
          <w:lang w:val="en-US"/>
        </w:rPr>
        <w:t xml:space="preserve">BCRs = </w:t>
      </w:r>
      <m:oMath>
        <m:f>
          <m:fPr>
            <m:ctrlPr>
              <w:rPr>
                <w:rFonts w:ascii="Cambria Math" w:hAnsi="Cambria Math"/>
                <w:i/>
                <w:highlight w:val="lightGray"/>
              </w:rPr>
            </m:ctrlPr>
          </m:fPr>
          <m:num>
            <m:sSub>
              <m:sSubPr>
                <m:ctrlPr>
                  <w:rPr>
                    <w:rFonts w:ascii="Cambria Math" w:hAnsi="Cambria Math"/>
                    <w:i/>
                    <w:highlight w:val="lightGray"/>
                  </w:rPr>
                </m:ctrlPr>
              </m:sSubPr>
              <m:e>
                <m:r>
                  <w:rPr>
                    <w:rFonts w:ascii="Cambria Math" w:hAnsi="Cambria Math"/>
                    <w:highlight w:val="lightGray"/>
                    <w:lang w:val="en-US"/>
                  </w:rPr>
                  <m:t>(</m:t>
                </m:r>
                <m:r>
                  <w:rPr>
                    <w:rFonts w:ascii="Cambria Math" w:hAnsi="Cambria Math"/>
                    <w:highlight w:val="lightGray"/>
                  </w:rPr>
                  <m:t>EXP</m:t>
                </m:r>
              </m:e>
              <m:sub>
                <m:r>
                  <w:rPr>
                    <w:rFonts w:ascii="Cambria Math" w:hAnsi="Cambria Math"/>
                    <w:highlight w:val="lightGray"/>
                  </w:rPr>
                  <m:t>CAP</m:t>
                </m:r>
              </m:sub>
            </m:sSub>
            <m:r>
              <w:rPr>
                <w:rFonts w:ascii="Cambria Math" w:hAnsi="Cambria Math"/>
                <w:highlight w:val="lightGray"/>
                <w:lang w:val="en-US"/>
              </w:rPr>
              <m:t>-</m:t>
            </m:r>
            <m:sSub>
              <m:sSubPr>
                <m:ctrlPr>
                  <w:rPr>
                    <w:rFonts w:ascii="Cambria Math" w:hAnsi="Cambria Math"/>
                    <w:i/>
                    <w:highlight w:val="lightGray"/>
                  </w:rPr>
                </m:ctrlPr>
              </m:sSubPr>
              <m:e>
                <m:r>
                  <w:rPr>
                    <w:rFonts w:ascii="Cambria Math" w:hAnsi="Cambria Math"/>
                    <w:highlight w:val="lightGray"/>
                  </w:rPr>
                  <m:t>IMP</m:t>
                </m:r>
              </m:e>
              <m:sub>
                <m:r>
                  <w:rPr>
                    <w:rFonts w:ascii="Cambria Math" w:hAnsi="Cambria Math"/>
                    <w:highlight w:val="lightGray"/>
                  </w:rPr>
                  <m:t>CAP</m:t>
                </m:r>
              </m:sub>
            </m:sSub>
            <m:r>
              <w:rPr>
                <w:rFonts w:ascii="Cambria Math" w:hAnsi="Cambria Math"/>
                <w:highlight w:val="lightGray"/>
                <w:lang w:val="en-US"/>
              </w:rPr>
              <m:t>)</m:t>
            </m:r>
          </m:num>
          <m:den>
            <m:r>
              <w:rPr>
                <w:rFonts w:ascii="Cambria Math" w:hAnsi="Cambria Math"/>
                <w:highlight w:val="lightGray"/>
                <w:lang w:val="en-US"/>
              </w:rPr>
              <m:t>(</m:t>
            </m:r>
            <m:sSub>
              <m:sSubPr>
                <m:ctrlPr>
                  <w:rPr>
                    <w:rFonts w:ascii="Cambria Math" w:hAnsi="Cambria Math"/>
                    <w:i/>
                    <w:highlight w:val="lightGray"/>
                  </w:rPr>
                </m:ctrlPr>
              </m:sSubPr>
              <m:e>
                <m:r>
                  <w:rPr>
                    <w:rFonts w:ascii="Cambria Math" w:hAnsi="Cambria Math"/>
                    <w:highlight w:val="lightGray"/>
                  </w:rPr>
                  <m:t>EXP</m:t>
                </m:r>
              </m:e>
              <m:sub>
                <m:r>
                  <w:rPr>
                    <w:rFonts w:ascii="Cambria Math" w:hAnsi="Cambria Math"/>
                    <w:highlight w:val="lightGray"/>
                  </w:rPr>
                  <m:t>CAP</m:t>
                </m:r>
                <m:r>
                  <w:rPr>
                    <w:rFonts w:ascii="Cambria Math" w:hAnsi="Cambria Math"/>
                    <w:highlight w:val="lightGray"/>
                    <w:lang w:val="en-US"/>
                  </w:rPr>
                  <m:t xml:space="preserve"> </m:t>
                </m:r>
              </m:sub>
            </m:sSub>
            <m:r>
              <w:rPr>
                <w:rFonts w:ascii="Cambria Math" w:hAnsi="Cambria Math"/>
                <w:highlight w:val="lightGray"/>
                <w:lang w:val="en-US"/>
              </w:rPr>
              <m:t xml:space="preserve">+ </m:t>
            </m:r>
            <m:sSub>
              <m:sSubPr>
                <m:ctrlPr>
                  <w:rPr>
                    <w:rFonts w:ascii="Cambria Math" w:hAnsi="Cambria Math"/>
                    <w:i/>
                    <w:highlight w:val="lightGray"/>
                  </w:rPr>
                </m:ctrlPr>
              </m:sSubPr>
              <m:e>
                <m:r>
                  <w:rPr>
                    <w:rFonts w:ascii="Cambria Math" w:hAnsi="Cambria Math"/>
                    <w:highlight w:val="lightGray"/>
                  </w:rPr>
                  <m:t>IMP</m:t>
                </m:r>
              </m:e>
              <m:sub>
                <m:r>
                  <w:rPr>
                    <w:rFonts w:ascii="Cambria Math" w:hAnsi="Cambria Math"/>
                    <w:highlight w:val="lightGray"/>
                  </w:rPr>
                  <m:t>CAP</m:t>
                </m:r>
                <m:r>
                  <w:rPr>
                    <w:rFonts w:ascii="Cambria Math" w:hAnsi="Cambria Math"/>
                    <w:highlight w:val="lightGray"/>
                    <w:lang w:val="en-US"/>
                  </w:rPr>
                  <m:t>)</m:t>
                </m:r>
              </m:sub>
            </m:sSub>
          </m:den>
        </m:f>
      </m:oMath>
    </w:p>
    <w:p w:rsidR="00653B39" w:rsidRPr="00307B25" w:rsidRDefault="00650550" w:rsidP="00653B39">
      <w:pPr>
        <w:rPr>
          <w:rFonts w:eastAsiaTheme="minorEastAsia"/>
          <w:sz w:val="20"/>
          <w:szCs w:val="20"/>
        </w:rPr>
      </w:pPr>
      <m:oMath>
        <m:sSub>
          <m:sSubPr>
            <m:ctrlPr>
              <w:rPr>
                <w:rFonts w:ascii="Cambria Math" w:hAnsi="Cambria Math"/>
                <w:i/>
              </w:rPr>
            </m:ctrlPr>
          </m:sSubPr>
          <m:e>
            <m:r>
              <w:rPr>
                <w:rFonts w:ascii="Cambria Math" w:hAnsi="Cambria Math"/>
              </w:rPr>
              <m:t>EXP</m:t>
            </m:r>
          </m:e>
          <m:sub>
            <m:r>
              <w:rPr>
                <w:rFonts w:ascii="Cambria Math" w:hAnsi="Cambria Math"/>
              </w:rPr>
              <m:t>CAP</m:t>
            </m:r>
          </m:sub>
        </m:sSub>
      </m:oMath>
      <w:r w:rsidR="00653B39">
        <w:rPr>
          <w:rFonts w:eastAsiaTheme="minorEastAsia"/>
        </w:rPr>
        <w:t xml:space="preserve"> = </w:t>
      </w:r>
      <w:r w:rsidR="00653B39" w:rsidRPr="00307B25">
        <w:rPr>
          <w:rFonts w:eastAsiaTheme="minorEastAsia"/>
          <w:sz w:val="20"/>
          <w:szCs w:val="20"/>
        </w:rPr>
        <w:t>Exportaciones del capítulo realizadas por Santander</w:t>
      </w:r>
    </w:p>
    <w:p w:rsidR="00653B39" w:rsidRDefault="00650550" w:rsidP="00653B39">
      <w:pPr>
        <w:rPr>
          <w:rFonts w:eastAsia="Times New Roman"/>
          <w:color w:val="000000"/>
          <w:sz w:val="20"/>
          <w:szCs w:val="20"/>
          <w:lang w:eastAsia="es-CO"/>
        </w:rPr>
      </w:pPr>
      <m:oMath>
        <m:sSub>
          <m:sSubPr>
            <m:ctrlPr>
              <w:rPr>
                <w:rFonts w:ascii="Cambria Math" w:hAnsi="Cambria Math"/>
                <w:i/>
              </w:rPr>
            </m:ctrlPr>
          </m:sSubPr>
          <m:e>
            <m:r>
              <w:rPr>
                <w:rFonts w:ascii="Cambria Math" w:hAnsi="Cambria Math"/>
              </w:rPr>
              <m:t>IMP</m:t>
            </m:r>
          </m:e>
          <m:sub>
            <m:r>
              <w:rPr>
                <w:rFonts w:ascii="Cambria Math" w:hAnsi="Cambria Math"/>
              </w:rPr>
              <m:t>CAP</m:t>
            </m:r>
          </m:sub>
        </m:sSub>
        <m:r>
          <w:rPr>
            <w:rFonts w:ascii="Cambria Math" w:hAnsi="Cambria Math"/>
          </w:rPr>
          <m:t>=</m:t>
        </m:r>
      </m:oMath>
      <w:r w:rsidR="00653B39" w:rsidRPr="00307B25">
        <w:rPr>
          <w:rFonts w:eastAsiaTheme="minorEastAsia"/>
          <w:sz w:val="20"/>
          <w:szCs w:val="20"/>
        </w:rPr>
        <w:t>Importacones del capítulo realizadas por Santander</w:t>
      </w:r>
      <w:r w:rsidR="00653B39" w:rsidRPr="003B1960">
        <w:rPr>
          <w:rFonts w:eastAsia="Times New Roman"/>
          <w:color w:val="000000"/>
          <w:sz w:val="20"/>
          <w:szCs w:val="20"/>
          <w:lang w:eastAsia="es-CO"/>
        </w:rPr>
        <w:t xml:space="preserve"> </w:t>
      </w:r>
    </w:p>
    <w:p w:rsidR="00653B39" w:rsidRDefault="00653B39" w:rsidP="00653B39">
      <w:pPr>
        <w:jc w:val="center"/>
        <w:rPr>
          <w:rFonts w:eastAsia="Times New Roman"/>
          <w:color w:val="000000"/>
          <w:sz w:val="20"/>
          <w:szCs w:val="20"/>
          <w:lang w:eastAsia="es-CO"/>
        </w:rPr>
      </w:pPr>
    </w:p>
    <w:p w:rsidR="0096159F" w:rsidRDefault="0096159F" w:rsidP="00653B39">
      <w:pPr>
        <w:rPr>
          <w:rFonts w:eastAsia="Times New Roman"/>
          <w:color w:val="000000"/>
          <w:lang w:eastAsia="es-CO"/>
        </w:rPr>
      </w:pPr>
    </w:p>
    <w:p w:rsidR="00653B39" w:rsidRPr="003B1960" w:rsidRDefault="0096159F" w:rsidP="0096159F">
      <w:pPr>
        <w:jc w:val="left"/>
        <w:rPr>
          <w:rFonts w:eastAsiaTheme="minorEastAsia"/>
        </w:rPr>
      </w:pPr>
      <w:r w:rsidRPr="00AB7177">
        <w:rPr>
          <w:rFonts w:eastAsia="Times New Roman"/>
          <w:b/>
          <w:color w:val="000000"/>
          <w:lang w:eastAsia="es-CO"/>
        </w:rPr>
        <w:t>Tabla 5</w:t>
      </w:r>
      <w:r>
        <w:rPr>
          <w:rFonts w:eastAsia="Times New Roman"/>
          <w:color w:val="000000"/>
          <w:lang w:eastAsia="es-CO"/>
        </w:rPr>
        <w:t>.</w:t>
      </w:r>
      <w:r w:rsidR="00653B39" w:rsidRPr="003B1960">
        <w:rPr>
          <w:rFonts w:eastAsia="Times New Roman"/>
          <w:color w:val="000000"/>
          <w:lang w:eastAsia="es-CO"/>
        </w:rPr>
        <w:t xml:space="preserve"> Indice de balanza comercial relativa sectorial</w:t>
      </w:r>
      <w:r>
        <w:rPr>
          <w:rFonts w:eastAsia="Times New Roman"/>
          <w:color w:val="000000"/>
          <w:lang w:eastAsia="es-CO"/>
        </w:rPr>
        <w:t xml:space="preserve"> </w:t>
      </w:r>
      <w:r w:rsidR="00653B39" w:rsidRPr="003B1960">
        <w:rPr>
          <w:rFonts w:eastAsia="Times New Roman"/>
          <w:color w:val="000000"/>
          <w:lang w:eastAsia="es-CO"/>
        </w:rPr>
        <w:t xml:space="preserve">(aplicado a capítulos exportadores del </w:t>
      </w:r>
      <w:r w:rsidR="00653B39">
        <w:rPr>
          <w:rFonts w:eastAsia="Times New Roman"/>
          <w:color w:val="000000"/>
          <w:lang w:eastAsia="es-CO"/>
        </w:rPr>
        <w:t>D</w:t>
      </w:r>
      <w:r w:rsidR="00653B39" w:rsidRPr="003B1960">
        <w:rPr>
          <w:rFonts w:eastAsia="Times New Roman"/>
          <w:color w:val="000000"/>
          <w:lang w:eastAsia="es-CO"/>
        </w:rPr>
        <w:t xml:space="preserve">epartamento de </w:t>
      </w:r>
      <w:r w:rsidR="00653B39">
        <w:rPr>
          <w:rFonts w:eastAsia="Times New Roman"/>
          <w:color w:val="000000"/>
          <w:lang w:eastAsia="es-CO"/>
        </w:rPr>
        <w:t>S</w:t>
      </w:r>
      <w:r w:rsidR="00653B39" w:rsidRPr="003B1960">
        <w:rPr>
          <w:rFonts w:eastAsia="Times New Roman"/>
          <w:color w:val="000000"/>
          <w:lang w:eastAsia="es-CO"/>
        </w:rPr>
        <w:t>antander)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7"/>
        <w:gridCol w:w="851"/>
        <w:gridCol w:w="850"/>
        <w:gridCol w:w="851"/>
        <w:gridCol w:w="850"/>
        <w:gridCol w:w="851"/>
        <w:gridCol w:w="850"/>
        <w:gridCol w:w="3238"/>
      </w:tblGrid>
      <w:tr w:rsidR="00653B39" w:rsidRPr="00882658" w:rsidTr="00653B39">
        <w:trPr>
          <w:trHeight w:val="416"/>
        </w:trPr>
        <w:tc>
          <w:tcPr>
            <w:tcW w:w="637" w:type="dxa"/>
            <w:shd w:val="clear" w:color="auto" w:fill="auto"/>
            <w:noWrap/>
            <w:vAlign w:val="bottom"/>
            <w:hideMark/>
          </w:tcPr>
          <w:p w:rsidR="00653B39" w:rsidRPr="00882658" w:rsidRDefault="00653B39" w:rsidP="00653B39">
            <w:pPr>
              <w:rPr>
                <w:rFonts w:eastAsia="Times New Roman"/>
                <w:b/>
                <w:color w:val="000000"/>
                <w:sz w:val="20"/>
                <w:szCs w:val="20"/>
                <w:lang w:eastAsia="es-CO"/>
              </w:rPr>
            </w:pPr>
            <w:r w:rsidRPr="00882658">
              <w:rPr>
                <w:rFonts w:eastAsia="Times New Roman"/>
                <w:b/>
                <w:color w:val="000000"/>
                <w:sz w:val="20"/>
                <w:szCs w:val="20"/>
                <w:lang w:eastAsia="es-CO"/>
              </w:rPr>
              <w:t> CAP</w:t>
            </w:r>
          </w:p>
        </w:tc>
        <w:tc>
          <w:tcPr>
            <w:tcW w:w="851"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2006</w:t>
            </w:r>
          </w:p>
        </w:tc>
        <w:tc>
          <w:tcPr>
            <w:tcW w:w="850"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2007</w:t>
            </w:r>
          </w:p>
        </w:tc>
        <w:tc>
          <w:tcPr>
            <w:tcW w:w="851"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2008</w:t>
            </w:r>
          </w:p>
        </w:tc>
        <w:tc>
          <w:tcPr>
            <w:tcW w:w="850"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2009</w:t>
            </w:r>
          </w:p>
        </w:tc>
        <w:tc>
          <w:tcPr>
            <w:tcW w:w="851"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2010</w:t>
            </w:r>
          </w:p>
        </w:tc>
        <w:tc>
          <w:tcPr>
            <w:tcW w:w="850"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2011</w:t>
            </w:r>
          </w:p>
        </w:tc>
        <w:tc>
          <w:tcPr>
            <w:tcW w:w="3238" w:type="dxa"/>
            <w:shd w:val="clear" w:color="auto" w:fill="auto"/>
            <w:vAlign w:val="bottom"/>
            <w:hideMark/>
          </w:tcPr>
          <w:p w:rsidR="00653B39" w:rsidRPr="00882658" w:rsidRDefault="00653B39" w:rsidP="00653B39">
            <w:pPr>
              <w:rPr>
                <w:rFonts w:eastAsia="Times New Roman"/>
                <w:b/>
                <w:bCs/>
                <w:color w:val="000000"/>
                <w:sz w:val="20"/>
                <w:szCs w:val="20"/>
                <w:lang w:eastAsia="es-CO"/>
              </w:rPr>
            </w:pPr>
            <w:r w:rsidRPr="00882658">
              <w:rPr>
                <w:rFonts w:eastAsia="Times New Roman"/>
                <w:b/>
                <w:bCs/>
                <w:color w:val="000000"/>
                <w:sz w:val="20"/>
                <w:szCs w:val="20"/>
                <w:lang w:eastAsia="es-CO"/>
              </w:rPr>
              <w:t xml:space="preserve">Valoración </w:t>
            </w:r>
          </w:p>
        </w:tc>
      </w:tr>
      <w:tr w:rsidR="00653B39" w:rsidRPr="00882658" w:rsidTr="00653B39">
        <w:trPr>
          <w:trHeight w:val="300"/>
        </w:trPr>
        <w:tc>
          <w:tcPr>
            <w:tcW w:w="637"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27</w:t>
            </w:r>
          </w:p>
        </w:tc>
        <w:tc>
          <w:tcPr>
            <w:tcW w:w="851" w:type="dxa"/>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0,83</w:t>
            </w:r>
          </w:p>
        </w:tc>
        <w:tc>
          <w:tcPr>
            <w:tcW w:w="850" w:type="dxa"/>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0,51</w:t>
            </w:r>
          </w:p>
        </w:tc>
        <w:tc>
          <w:tcPr>
            <w:tcW w:w="851" w:type="dxa"/>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0,54</w:t>
            </w:r>
          </w:p>
        </w:tc>
        <w:tc>
          <w:tcPr>
            <w:tcW w:w="850" w:type="dxa"/>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0,98</w:t>
            </w:r>
          </w:p>
        </w:tc>
        <w:tc>
          <w:tcPr>
            <w:tcW w:w="851" w:type="dxa"/>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0,99</w:t>
            </w:r>
          </w:p>
        </w:tc>
        <w:tc>
          <w:tcPr>
            <w:tcW w:w="850" w:type="dxa"/>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0,99</w:t>
            </w:r>
          </w:p>
        </w:tc>
        <w:tc>
          <w:tcPr>
            <w:tcW w:w="3238" w:type="dxa"/>
            <w:shd w:val="clear" w:color="auto" w:fill="auto"/>
            <w:noWrap/>
            <w:vAlign w:val="bottom"/>
          </w:tcPr>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Muy a</w:t>
            </w:r>
            <w:r>
              <w:rPr>
                <w:rFonts w:eastAsia="Times New Roman"/>
                <w:color w:val="000000"/>
                <w:sz w:val="18"/>
                <w:szCs w:val="18"/>
                <w:lang w:eastAsia="es-CO"/>
              </w:rPr>
              <w:t>lta tendencia exportadora, especialmente en el año 2009, 2010.</w:t>
            </w:r>
          </w:p>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 xml:space="preserve">Aumento de la tendencia exportadora entre 2006 </w:t>
            </w:r>
            <w:r>
              <w:rPr>
                <w:rFonts w:eastAsia="Times New Roman"/>
                <w:color w:val="000000"/>
                <w:sz w:val="18"/>
                <w:szCs w:val="18"/>
                <w:lang w:eastAsia="es-CO"/>
              </w:rPr>
              <w:t>–</w:t>
            </w:r>
            <w:r w:rsidRPr="006B1D56">
              <w:rPr>
                <w:rFonts w:eastAsia="Times New Roman"/>
                <w:color w:val="000000"/>
                <w:sz w:val="18"/>
                <w:szCs w:val="18"/>
                <w:lang w:eastAsia="es-CO"/>
              </w:rPr>
              <w:t xml:space="preserve"> 2011</w:t>
            </w:r>
          </w:p>
        </w:tc>
      </w:tr>
      <w:tr w:rsidR="00653B39" w:rsidRPr="00882658" w:rsidTr="00653B39">
        <w:trPr>
          <w:trHeight w:val="300"/>
        </w:trPr>
        <w:tc>
          <w:tcPr>
            <w:tcW w:w="637"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9</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1</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1</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1</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1</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1</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0,984</w:t>
            </w:r>
          </w:p>
        </w:tc>
        <w:tc>
          <w:tcPr>
            <w:tcW w:w="3238" w:type="dxa"/>
            <w:shd w:val="clear" w:color="auto" w:fill="auto"/>
            <w:noWrap/>
            <w:vAlign w:val="bottom"/>
          </w:tcPr>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Muy alta tendencia exportadora.</w:t>
            </w:r>
          </w:p>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 xml:space="preserve">Se mantiene la tendencia exportadora entre 2006 </w:t>
            </w:r>
            <w:r>
              <w:rPr>
                <w:rFonts w:eastAsia="Times New Roman"/>
                <w:color w:val="000000"/>
                <w:sz w:val="18"/>
                <w:szCs w:val="18"/>
                <w:lang w:eastAsia="es-CO"/>
              </w:rPr>
              <w:t>–</w:t>
            </w:r>
            <w:r w:rsidRPr="006B1D56">
              <w:rPr>
                <w:rFonts w:eastAsia="Times New Roman"/>
                <w:color w:val="000000"/>
                <w:sz w:val="18"/>
                <w:szCs w:val="18"/>
                <w:lang w:eastAsia="es-CO"/>
              </w:rPr>
              <w:t xml:space="preserve"> 2011</w:t>
            </w:r>
          </w:p>
        </w:tc>
      </w:tr>
      <w:tr w:rsidR="00653B39" w:rsidRPr="00882658" w:rsidTr="00653B39">
        <w:trPr>
          <w:trHeight w:val="300"/>
        </w:trPr>
        <w:tc>
          <w:tcPr>
            <w:tcW w:w="637"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71</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0,98</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0,99</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0,96</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0,97</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0,92</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-0,53</w:t>
            </w:r>
          </w:p>
        </w:tc>
        <w:tc>
          <w:tcPr>
            <w:tcW w:w="3238" w:type="dxa"/>
            <w:shd w:val="clear" w:color="auto" w:fill="auto"/>
            <w:noWrap/>
            <w:vAlign w:val="bottom"/>
          </w:tcPr>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Alta tendencia exportadora hasta el año 201</w:t>
            </w:r>
            <w:r>
              <w:rPr>
                <w:rFonts w:eastAsia="Times New Roman"/>
                <w:color w:val="000000"/>
                <w:sz w:val="18"/>
                <w:szCs w:val="18"/>
                <w:lang w:eastAsia="es-CO"/>
              </w:rPr>
              <w:t>0</w:t>
            </w:r>
            <w:r w:rsidRPr="006B1D56">
              <w:rPr>
                <w:rFonts w:eastAsia="Times New Roman"/>
                <w:color w:val="000000"/>
                <w:sz w:val="18"/>
                <w:szCs w:val="18"/>
                <w:lang w:eastAsia="es-CO"/>
              </w:rPr>
              <w:t xml:space="preserve">.  </w:t>
            </w:r>
          </w:p>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En el año 2011 la tendencia cambió hacia las importaciones.</w:t>
            </w:r>
          </w:p>
        </w:tc>
      </w:tr>
      <w:tr w:rsidR="00653B39" w:rsidRPr="00882658" w:rsidTr="00653B39">
        <w:trPr>
          <w:trHeight w:val="300"/>
        </w:trPr>
        <w:tc>
          <w:tcPr>
            <w:tcW w:w="637"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29</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0,14</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0,52</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0,78</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0,68</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0,67</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0,05</w:t>
            </w:r>
          </w:p>
        </w:tc>
        <w:tc>
          <w:tcPr>
            <w:tcW w:w="3238" w:type="dxa"/>
            <w:shd w:val="clear" w:color="auto" w:fill="auto"/>
            <w:noWrap/>
            <w:vAlign w:val="bottom"/>
          </w:tcPr>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Tendencia exportadora baja, especialmente en el año 2011. Presentó tendencia alta a las exportaciones entre 2007 – 2010.</w:t>
            </w:r>
          </w:p>
        </w:tc>
      </w:tr>
      <w:tr w:rsidR="00653B39" w:rsidRPr="00882658" w:rsidTr="00653B39">
        <w:trPr>
          <w:trHeight w:val="300"/>
        </w:trPr>
        <w:tc>
          <w:tcPr>
            <w:tcW w:w="637"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87</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-0,43</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-0,39</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-0,32</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0,03</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-0,47</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-0,68</w:t>
            </w:r>
          </w:p>
        </w:tc>
        <w:tc>
          <w:tcPr>
            <w:tcW w:w="3238" w:type="dxa"/>
            <w:shd w:val="clear" w:color="auto" w:fill="auto"/>
            <w:noWrap/>
            <w:vAlign w:val="bottom"/>
          </w:tcPr>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Tendencia a las importaciones.</w:t>
            </w:r>
          </w:p>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Aumento en la tendencia a las importaciones.</w:t>
            </w:r>
          </w:p>
        </w:tc>
      </w:tr>
      <w:tr w:rsidR="00653B39" w:rsidRPr="00882658" w:rsidTr="00653B39">
        <w:trPr>
          <w:trHeight w:val="300"/>
        </w:trPr>
        <w:tc>
          <w:tcPr>
            <w:tcW w:w="637"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15</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0,44</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0,03</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0,24</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0,32</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0,38</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-0,25</w:t>
            </w:r>
          </w:p>
        </w:tc>
        <w:tc>
          <w:tcPr>
            <w:tcW w:w="3238" w:type="dxa"/>
            <w:shd w:val="clear" w:color="auto" w:fill="auto"/>
            <w:noWrap/>
            <w:vAlign w:val="bottom"/>
          </w:tcPr>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 xml:space="preserve">Tendencia exportadora media hasta el año 2010.  </w:t>
            </w:r>
          </w:p>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En el año 2011 se presentó tendencia hacia las importaciones.</w:t>
            </w:r>
          </w:p>
        </w:tc>
      </w:tr>
      <w:tr w:rsidR="00653B39" w:rsidRPr="00882658" w:rsidTr="00653B39">
        <w:trPr>
          <w:trHeight w:val="300"/>
        </w:trPr>
        <w:tc>
          <w:tcPr>
            <w:tcW w:w="637"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84</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-0,79</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-0,73</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-0,74</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-0,74</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-0,86</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-0,82</w:t>
            </w:r>
          </w:p>
        </w:tc>
        <w:tc>
          <w:tcPr>
            <w:tcW w:w="3238" w:type="dxa"/>
            <w:shd w:val="clear" w:color="auto" w:fill="auto"/>
            <w:noWrap/>
            <w:vAlign w:val="bottom"/>
          </w:tcPr>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Alta tendencia a las importaciones.</w:t>
            </w:r>
          </w:p>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Aumento en la tendencia hacia las importaciones.</w:t>
            </w:r>
          </w:p>
        </w:tc>
      </w:tr>
      <w:tr w:rsidR="00653B39" w:rsidRPr="00882658" w:rsidTr="00653B39">
        <w:trPr>
          <w:trHeight w:val="300"/>
        </w:trPr>
        <w:tc>
          <w:tcPr>
            <w:tcW w:w="637"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62</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0,94</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0,95</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0,98</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0,97</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0,92</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0,74</w:t>
            </w:r>
          </w:p>
        </w:tc>
        <w:tc>
          <w:tcPr>
            <w:tcW w:w="3238" w:type="dxa"/>
            <w:shd w:val="clear" w:color="auto" w:fill="auto"/>
            <w:noWrap/>
            <w:vAlign w:val="bottom"/>
          </w:tcPr>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Muy alta tendencia a las exportaciones.</w:t>
            </w:r>
          </w:p>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Leve disminución en el año 2011.</w:t>
            </w:r>
          </w:p>
        </w:tc>
      </w:tr>
      <w:tr w:rsidR="00653B39" w:rsidRPr="00882658" w:rsidTr="00653B39">
        <w:trPr>
          <w:trHeight w:val="300"/>
        </w:trPr>
        <w:tc>
          <w:tcPr>
            <w:tcW w:w="637"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39</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-0,81</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-0,74</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-0,77</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-0,60</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-0,54</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-0,73</w:t>
            </w:r>
          </w:p>
        </w:tc>
        <w:tc>
          <w:tcPr>
            <w:tcW w:w="3238" w:type="dxa"/>
            <w:shd w:val="clear" w:color="auto" w:fill="auto"/>
            <w:noWrap/>
            <w:vAlign w:val="bottom"/>
          </w:tcPr>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Alta tendencia a  las importaciones.</w:t>
            </w:r>
          </w:p>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Leve disminución de la tendencia a las importaciones entre 2009 – 2011.</w:t>
            </w:r>
          </w:p>
        </w:tc>
      </w:tr>
      <w:tr w:rsidR="00653B39" w:rsidRPr="00882658" w:rsidTr="00653B39">
        <w:trPr>
          <w:trHeight w:val="300"/>
        </w:trPr>
        <w:tc>
          <w:tcPr>
            <w:tcW w:w="637"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64</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0,81</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0,88</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0,83</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0,76</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0,00</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0,24</w:t>
            </w:r>
          </w:p>
        </w:tc>
        <w:tc>
          <w:tcPr>
            <w:tcW w:w="3238" w:type="dxa"/>
            <w:shd w:val="clear" w:color="auto" w:fill="auto"/>
            <w:noWrap/>
            <w:vAlign w:val="bottom"/>
          </w:tcPr>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 xml:space="preserve">Alta tendencia a las exportaciones hasta el año 2009.  </w:t>
            </w:r>
          </w:p>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Equivalencia entre exportaciones e importaciones en el año 2010.</w:t>
            </w:r>
          </w:p>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Baja tendencia  a las exportaciones en el año 2011</w:t>
            </w:r>
          </w:p>
        </w:tc>
      </w:tr>
      <w:tr w:rsidR="00653B39" w:rsidRPr="00882658" w:rsidTr="00653B39">
        <w:trPr>
          <w:trHeight w:val="300"/>
        </w:trPr>
        <w:tc>
          <w:tcPr>
            <w:tcW w:w="637"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61</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0,91</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0,95</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0,93</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0,93</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0,87</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0,72</w:t>
            </w:r>
          </w:p>
        </w:tc>
        <w:tc>
          <w:tcPr>
            <w:tcW w:w="3238" w:type="dxa"/>
            <w:shd w:val="clear" w:color="auto" w:fill="auto"/>
            <w:noWrap/>
            <w:vAlign w:val="bottom"/>
          </w:tcPr>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Alta tendencia a las exportaciones.</w:t>
            </w:r>
          </w:p>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Leve disminución de la tendencia a las exportaciones en el año 2011.</w:t>
            </w:r>
          </w:p>
        </w:tc>
      </w:tr>
      <w:tr w:rsidR="00653B39" w:rsidRPr="00882658" w:rsidTr="00653B39">
        <w:trPr>
          <w:trHeight w:val="300"/>
        </w:trPr>
        <w:tc>
          <w:tcPr>
            <w:tcW w:w="637" w:type="dxa"/>
            <w:shd w:val="clear" w:color="auto" w:fill="auto"/>
            <w:noWrap/>
            <w:vAlign w:val="bottom"/>
            <w:hideMark/>
          </w:tcPr>
          <w:p w:rsidR="00653B39" w:rsidRPr="00882658" w:rsidRDefault="00653B39" w:rsidP="00653B39">
            <w:pPr>
              <w:jc w:val="right"/>
              <w:rPr>
                <w:rFonts w:eastAsia="Times New Roman"/>
                <w:b/>
                <w:color w:val="000000"/>
                <w:sz w:val="20"/>
                <w:szCs w:val="20"/>
                <w:lang w:eastAsia="es-CO"/>
              </w:rPr>
            </w:pPr>
            <w:r w:rsidRPr="00882658">
              <w:rPr>
                <w:rFonts w:eastAsia="Times New Roman"/>
                <w:b/>
                <w:color w:val="000000"/>
                <w:sz w:val="20"/>
                <w:szCs w:val="20"/>
                <w:lang w:eastAsia="es-CO"/>
              </w:rPr>
              <w:t>2</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1</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1</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1</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1,00</w:t>
            </w:r>
          </w:p>
        </w:tc>
        <w:tc>
          <w:tcPr>
            <w:tcW w:w="851"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0,29</w:t>
            </w:r>
          </w:p>
        </w:tc>
        <w:tc>
          <w:tcPr>
            <w:tcW w:w="850" w:type="dxa"/>
            <w:shd w:val="clear" w:color="auto" w:fill="auto"/>
            <w:noWrap/>
            <w:vAlign w:val="bottom"/>
          </w:tcPr>
          <w:p w:rsidR="00653B39" w:rsidRPr="00882658" w:rsidRDefault="00653B39" w:rsidP="00653B39">
            <w:pPr>
              <w:jc w:val="right"/>
              <w:rPr>
                <w:color w:val="000000"/>
                <w:sz w:val="20"/>
                <w:szCs w:val="20"/>
              </w:rPr>
            </w:pPr>
            <w:r w:rsidRPr="00882658">
              <w:rPr>
                <w:color w:val="000000"/>
                <w:sz w:val="20"/>
                <w:szCs w:val="20"/>
              </w:rPr>
              <w:t>0,07</w:t>
            </w:r>
          </w:p>
        </w:tc>
        <w:tc>
          <w:tcPr>
            <w:tcW w:w="3238" w:type="dxa"/>
            <w:shd w:val="clear" w:color="auto" w:fill="auto"/>
            <w:noWrap/>
            <w:vAlign w:val="bottom"/>
          </w:tcPr>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 xml:space="preserve">Muy alta tendencia a las exportaciones hasta el año 2009, con </w:t>
            </w:r>
            <w:r>
              <w:rPr>
                <w:rFonts w:eastAsia="Times New Roman"/>
                <w:color w:val="000000"/>
                <w:sz w:val="18"/>
                <w:szCs w:val="18"/>
                <w:lang w:eastAsia="es-CO"/>
              </w:rPr>
              <w:t xml:space="preserve">alta </w:t>
            </w:r>
            <w:r w:rsidRPr="006B1D56">
              <w:rPr>
                <w:rFonts w:eastAsia="Times New Roman"/>
                <w:color w:val="000000"/>
                <w:sz w:val="18"/>
                <w:szCs w:val="18"/>
                <w:lang w:eastAsia="es-CO"/>
              </w:rPr>
              <w:t>disminución en el año 201</w:t>
            </w:r>
            <w:r>
              <w:rPr>
                <w:rFonts w:eastAsia="Times New Roman"/>
                <w:color w:val="000000"/>
                <w:sz w:val="18"/>
                <w:szCs w:val="18"/>
                <w:lang w:eastAsia="es-CO"/>
              </w:rPr>
              <w:t>1</w:t>
            </w:r>
            <w:r w:rsidRPr="006B1D56">
              <w:rPr>
                <w:rFonts w:eastAsia="Times New Roman"/>
                <w:color w:val="000000"/>
                <w:sz w:val="18"/>
                <w:szCs w:val="18"/>
                <w:lang w:eastAsia="es-CO"/>
              </w:rPr>
              <w:t>.</w:t>
            </w:r>
          </w:p>
          <w:p w:rsidR="00653B39" w:rsidRPr="006B1D56" w:rsidRDefault="00653B39" w:rsidP="0096159F">
            <w:pPr>
              <w:rPr>
                <w:rFonts w:eastAsia="Times New Roman"/>
                <w:color w:val="000000"/>
                <w:sz w:val="18"/>
                <w:szCs w:val="18"/>
                <w:lang w:eastAsia="es-CO"/>
              </w:rPr>
            </w:pPr>
            <w:r w:rsidRPr="006B1D56">
              <w:rPr>
                <w:rFonts w:eastAsia="Times New Roman"/>
                <w:color w:val="000000"/>
                <w:sz w:val="18"/>
                <w:szCs w:val="18"/>
                <w:lang w:eastAsia="es-CO"/>
              </w:rPr>
              <w:t>En el año 2011 es casi equivalente las exportaciones frente a las importaciones.</w:t>
            </w:r>
          </w:p>
        </w:tc>
      </w:tr>
    </w:tbl>
    <w:p w:rsidR="00653B39" w:rsidRPr="006B1D56" w:rsidRDefault="00653B39" w:rsidP="00653B39">
      <w:r w:rsidRPr="006B1D56">
        <w:t>Elaboración propia.</w:t>
      </w:r>
    </w:p>
    <w:p w:rsidR="00653B39" w:rsidRDefault="00653B39" w:rsidP="0096159F">
      <w:r>
        <w:lastRenderedPageBreak/>
        <w:t>BALANZA COMERCIAL RELATIVA SECTORIAL CON REFERENCIA A UN PAÍS DESTINO.</w:t>
      </w:r>
    </w:p>
    <w:p w:rsidR="00653B39" w:rsidRDefault="00653B39" w:rsidP="00653B39">
      <w:pPr>
        <w:pStyle w:val="Prrafodelista"/>
        <w:ind w:left="360"/>
      </w:pPr>
    </w:p>
    <w:p w:rsidR="00653B39" w:rsidRDefault="00653B39" w:rsidP="0096159F">
      <w:r>
        <w:t>Es una adaptación que se hace respecto a la balanza comercial sectorial, tomando en este caso un mercado específico. Para el caso del presente estudio se toma como región de análisis Santander y mercado específico Estados Unidos.  Con ello se quiere determinar la dinámica exportadora o importadora de cada capítulo de Santander en el mercado de Estados Unidos.</w:t>
      </w:r>
    </w:p>
    <w:p w:rsidR="0096159F" w:rsidRDefault="0096159F" w:rsidP="0096159F"/>
    <w:p w:rsidR="00653B39" w:rsidRDefault="00653B39" w:rsidP="00653B39">
      <w:r w:rsidRPr="00307B25">
        <w:rPr>
          <w:highlight w:val="lightGray"/>
        </w:rPr>
        <w:t>BCR</w:t>
      </w:r>
      <w:r w:rsidRPr="00307B25">
        <w:rPr>
          <w:highlight w:val="lightGray"/>
          <w:vertAlign w:val="subscript"/>
        </w:rPr>
        <w:t>ij</w:t>
      </w:r>
      <w:r w:rsidRPr="00307B25">
        <w:rPr>
          <w:highlight w:val="lightGray"/>
        </w:rPr>
        <w:t xml:space="preserve"> = </w:t>
      </w:r>
      <m:oMath>
        <m:f>
          <m:fPr>
            <m:ctrlPr>
              <w:rPr>
                <w:rFonts w:ascii="Cambria Math" w:hAnsi="Cambria Math"/>
                <w:i/>
                <w:highlight w:val="lightGray"/>
              </w:rPr>
            </m:ctrlPr>
          </m:fPr>
          <m:num>
            <m:r>
              <w:rPr>
                <w:rFonts w:ascii="Cambria Math" w:hAnsi="Cambria Math"/>
                <w:highlight w:val="lightGray"/>
              </w:rPr>
              <m:t xml:space="preserve"> ( </m:t>
            </m:r>
            <m:sSubSup>
              <m:sSubSupPr>
                <m:ctrlPr>
                  <w:rPr>
                    <w:rFonts w:ascii="Cambria Math" w:hAnsi="Cambria Math"/>
                    <w:i/>
                    <w:highlight w:val="lightGray"/>
                  </w:rPr>
                </m:ctrlPr>
              </m:sSubSupPr>
              <m:e>
                <m:r>
                  <w:rPr>
                    <w:rFonts w:ascii="Cambria Math" w:hAnsi="Cambria Math"/>
                    <w:highlight w:val="lightGray"/>
                  </w:rPr>
                  <m:t>X</m:t>
                </m:r>
              </m:e>
              <m:sub>
                <m:r>
                  <w:rPr>
                    <w:rFonts w:ascii="Cambria Math" w:hAnsi="Cambria Math"/>
                    <w:highlight w:val="lightGray"/>
                  </w:rPr>
                  <m:t>i</m:t>
                </m:r>
              </m:sub>
              <m:sup>
                <m:r>
                  <w:rPr>
                    <w:rFonts w:ascii="Cambria Math" w:hAnsi="Cambria Math"/>
                    <w:highlight w:val="lightGray"/>
                  </w:rPr>
                  <m:t>j</m:t>
                </m:r>
              </m:sup>
            </m:sSubSup>
            <m:r>
              <w:rPr>
                <w:rFonts w:ascii="Cambria Math" w:hAnsi="Cambria Math"/>
                <w:highlight w:val="lightGray"/>
              </w:rPr>
              <m:t>-</m:t>
            </m:r>
            <m:sSubSup>
              <m:sSubSupPr>
                <m:ctrlPr>
                  <w:rPr>
                    <w:rFonts w:ascii="Cambria Math" w:hAnsi="Cambria Math"/>
                    <w:i/>
                    <w:highlight w:val="lightGray"/>
                  </w:rPr>
                </m:ctrlPr>
              </m:sSubSupPr>
              <m:e>
                <m:r>
                  <w:rPr>
                    <w:rFonts w:ascii="Cambria Math" w:hAnsi="Cambria Math"/>
                    <w:highlight w:val="lightGray"/>
                  </w:rPr>
                  <m:t>M</m:t>
                </m:r>
              </m:e>
              <m:sub>
                <m:r>
                  <w:rPr>
                    <w:rFonts w:ascii="Cambria Math" w:hAnsi="Cambria Math"/>
                    <w:highlight w:val="lightGray"/>
                  </w:rPr>
                  <m:t>i</m:t>
                </m:r>
              </m:sub>
              <m:sup>
                <m:r>
                  <w:rPr>
                    <w:rFonts w:ascii="Cambria Math" w:hAnsi="Cambria Math"/>
                    <w:highlight w:val="lightGray"/>
                  </w:rPr>
                  <m:t>j</m:t>
                </m:r>
              </m:sup>
            </m:sSubSup>
            <m:r>
              <w:rPr>
                <w:rFonts w:ascii="Cambria Math" w:hAnsi="Cambria Math"/>
                <w:highlight w:val="lightGray"/>
              </w:rPr>
              <m:t>)</m:t>
            </m:r>
          </m:num>
          <m:den>
            <m:r>
              <w:rPr>
                <w:rFonts w:ascii="Cambria Math" w:hAnsi="Cambria Math"/>
                <w:highlight w:val="lightGray"/>
              </w:rPr>
              <m:t>(</m:t>
            </m:r>
            <m:sSubSup>
              <m:sSubSupPr>
                <m:ctrlPr>
                  <w:rPr>
                    <w:rFonts w:ascii="Cambria Math" w:hAnsi="Cambria Math"/>
                    <w:i/>
                    <w:highlight w:val="lightGray"/>
                  </w:rPr>
                </m:ctrlPr>
              </m:sSubSupPr>
              <m:e>
                <m:r>
                  <w:rPr>
                    <w:rFonts w:ascii="Cambria Math" w:hAnsi="Cambria Math"/>
                    <w:highlight w:val="lightGray"/>
                  </w:rPr>
                  <m:t>X</m:t>
                </m:r>
              </m:e>
              <m:sub>
                <m:r>
                  <w:rPr>
                    <w:rFonts w:ascii="Cambria Math" w:hAnsi="Cambria Math"/>
                    <w:highlight w:val="lightGray"/>
                  </w:rPr>
                  <m:t>i</m:t>
                </m:r>
              </m:sub>
              <m:sup>
                <m:r>
                  <w:rPr>
                    <w:rFonts w:ascii="Cambria Math" w:hAnsi="Cambria Math"/>
                    <w:highlight w:val="lightGray"/>
                  </w:rPr>
                  <m:t>j</m:t>
                </m:r>
              </m:sup>
            </m:sSubSup>
            <m:r>
              <w:rPr>
                <w:rFonts w:ascii="Cambria Math" w:hAnsi="Cambria Math"/>
                <w:highlight w:val="lightGray"/>
              </w:rPr>
              <m:t xml:space="preserve">+ </m:t>
            </m:r>
            <m:sSubSup>
              <m:sSubSupPr>
                <m:ctrlPr>
                  <w:rPr>
                    <w:rFonts w:ascii="Cambria Math" w:hAnsi="Cambria Math"/>
                    <w:i/>
                    <w:highlight w:val="lightGray"/>
                  </w:rPr>
                </m:ctrlPr>
              </m:sSubSupPr>
              <m:e>
                <m:r>
                  <w:rPr>
                    <w:rFonts w:ascii="Cambria Math" w:hAnsi="Cambria Math"/>
                    <w:highlight w:val="lightGray"/>
                  </w:rPr>
                  <m:t>M</m:t>
                </m:r>
              </m:e>
              <m:sub>
                <m:r>
                  <w:rPr>
                    <w:rFonts w:ascii="Cambria Math" w:hAnsi="Cambria Math"/>
                    <w:highlight w:val="lightGray"/>
                  </w:rPr>
                  <m:t>i</m:t>
                </m:r>
              </m:sub>
              <m:sup>
                <m:r>
                  <w:rPr>
                    <w:rFonts w:ascii="Cambria Math" w:hAnsi="Cambria Math"/>
                    <w:highlight w:val="lightGray"/>
                  </w:rPr>
                  <m:t>j</m:t>
                </m:r>
              </m:sup>
            </m:sSubSup>
            <m:r>
              <w:rPr>
                <w:rFonts w:ascii="Cambria Math" w:hAnsi="Cambria Math"/>
                <w:highlight w:val="lightGray"/>
              </w:rPr>
              <m:t>)</m:t>
            </m:r>
          </m:den>
        </m:f>
      </m:oMath>
      <w:r>
        <w:t xml:space="preserve"> </w:t>
      </w:r>
    </w:p>
    <w:p w:rsidR="0096159F" w:rsidRDefault="0096159F" w:rsidP="00653B39"/>
    <w:p w:rsidR="00653B39" w:rsidRPr="000C1C8E" w:rsidRDefault="00650550" w:rsidP="00653B39">
      <w:pPr>
        <w:rPr>
          <w:rFonts w:eastAsiaTheme="minorEastAsia"/>
          <w:sz w:val="20"/>
          <w:szCs w:val="20"/>
        </w:rPr>
      </w:pPr>
      <m:oMath>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j</m:t>
            </m:r>
          </m:sup>
        </m:sSubSup>
      </m:oMath>
      <w:r w:rsidR="00653B39">
        <w:rPr>
          <w:rFonts w:eastAsiaTheme="minorEastAsia"/>
        </w:rPr>
        <w:t xml:space="preserve"> = </w:t>
      </w:r>
      <w:r w:rsidR="00653B39" w:rsidRPr="000C1C8E">
        <w:rPr>
          <w:rFonts w:eastAsiaTheme="minorEastAsia"/>
          <w:sz w:val="20"/>
          <w:szCs w:val="20"/>
        </w:rPr>
        <w:t>Exportaciones del capítulo i al mercado j.</w:t>
      </w:r>
    </w:p>
    <w:p w:rsidR="00653B39" w:rsidRDefault="00650550" w:rsidP="00653B39">
      <w:pPr>
        <w:rPr>
          <w:rFonts w:eastAsiaTheme="minorEastAsia"/>
          <w:sz w:val="20"/>
          <w:szCs w:val="20"/>
        </w:rPr>
      </w:pPr>
      <m:oMath>
        <m:sSubSup>
          <m:sSubSupPr>
            <m:ctrlPr>
              <w:rPr>
                <w:rFonts w:ascii="Cambria Math" w:hAnsi="Cambria Math"/>
                <w:i/>
              </w:rPr>
            </m:ctrlPr>
          </m:sSubSupPr>
          <m:e>
            <m:r>
              <w:rPr>
                <w:rFonts w:ascii="Cambria Math" w:hAnsi="Cambria Math"/>
              </w:rPr>
              <m:t>M</m:t>
            </m:r>
          </m:e>
          <m:sub>
            <m:r>
              <w:rPr>
                <w:rFonts w:ascii="Cambria Math" w:hAnsi="Cambria Math"/>
              </w:rPr>
              <m:t>i</m:t>
            </m:r>
          </m:sub>
          <m:sup>
            <m:r>
              <w:rPr>
                <w:rFonts w:ascii="Cambria Math" w:hAnsi="Cambria Math"/>
              </w:rPr>
              <m:t>j</m:t>
            </m:r>
          </m:sup>
        </m:sSubSup>
      </m:oMath>
      <w:r w:rsidR="00653B39">
        <w:rPr>
          <w:rFonts w:eastAsiaTheme="minorEastAsia"/>
        </w:rPr>
        <w:t xml:space="preserve"> = </w:t>
      </w:r>
      <w:r w:rsidR="00653B39" w:rsidRPr="000C1C8E">
        <w:rPr>
          <w:rFonts w:eastAsiaTheme="minorEastAsia"/>
          <w:sz w:val="20"/>
          <w:szCs w:val="20"/>
        </w:rPr>
        <w:t xml:space="preserve">Importaciones del capítulo i </w:t>
      </w:r>
      <w:r w:rsidR="00653B39">
        <w:rPr>
          <w:rFonts w:eastAsiaTheme="minorEastAsia"/>
          <w:sz w:val="20"/>
          <w:szCs w:val="20"/>
        </w:rPr>
        <w:t>del</w:t>
      </w:r>
      <w:r w:rsidR="00653B39" w:rsidRPr="000C1C8E">
        <w:rPr>
          <w:rFonts w:eastAsiaTheme="minorEastAsia"/>
          <w:sz w:val="20"/>
          <w:szCs w:val="20"/>
        </w:rPr>
        <w:t xml:space="preserve"> mercado j.</w:t>
      </w:r>
    </w:p>
    <w:p w:rsidR="00653B39" w:rsidRDefault="00653B39" w:rsidP="00653B39">
      <w:pPr>
        <w:rPr>
          <w:rFonts w:eastAsiaTheme="minorEastAsia"/>
        </w:rPr>
      </w:pPr>
      <w:r>
        <w:rPr>
          <w:rFonts w:eastAsiaTheme="minorEastAsia"/>
        </w:rPr>
        <w:t>Siendo i = cada capítulo arancelario; j = mercado de Estados Unidos</w:t>
      </w:r>
    </w:p>
    <w:p w:rsidR="0096159F" w:rsidRDefault="0096159F" w:rsidP="00653B39">
      <w:pPr>
        <w:rPr>
          <w:rFonts w:eastAsia="Times New Roman"/>
          <w:lang w:eastAsia="es-CO"/>
        </w:rPr>
      </w:pPr>
    </w:p>
    <w:p w:rsidR="00653B39" w:rsidRPr="005353F9" w:rsidRDefault="00653B39" w:rsidP="0096159F">
      <w:pPr>
        <w:rPr>
          <w:rFonts w:eastAsia="Times New Roman"/>
          <w:lang w:eastAsia="es-CO"/>
        </w:rPr>
      </w:pPr>
      <w:r w:rsidRPr="005353F9">
        <w:rPr>
          <w:rFonts w:eastAsia="Times New Roman"/>
          <w:lang w:eastAsia="es-CO"/>
        </w:rPr>
        <w:t xml:space="preserve">El numerador se refiere a la balanza comercial entre el país j </w:t>
      </w:r>
      <w:r>
        <w:rPr>
          <w:rFonts w:eastAsia="Times New Roman"/>
          <w:lang w:eastAsia="es-CO"/>
        </w:rPr>
        <w:t xml:space="preserve">(Estados Unidos) </w:t>
      </w:r>
      <w:r w:rsidRPr="005353F9">
        <w:rPr>
          <w:rFonts w:eastAsia="Times New Roman"/>
          <w:lang w:eastAsia="es-CO"/>
        </w:rPr>
        <w:t>y el país (o región) de referencia (en este caso Santander)  para el producto o sector i; el denominador es el comercio total bilateral entre el país i y la región de referencia</w:t>
      </w:r>
      <w:r>
        <w:rPr>
          <w:rFonts w:eastAsia="Times New Roman"/>
          <w:lang w:eastAsia="es-CO"/>
        </w:rPr>
        <w:t xml:space="preserve"> (Estados Unidos y Santander).</w:t>
      </w:r>
    </w:p>
    <w:p w:rsidR="00653B39" w:rsidRDefault="00653B39" w:rsidP="00653B39">
      <w:pPr>
        <w:rPr>
          <w:rFonts w:eastAsia="Times New Roman"/>
          <w:lang w:eastAsia="es-CO"/>
        </w:rPr>
      </w:pPr>
    </w:p>
    <w:p w:rsidR="00653B39" w:rsidRDefault="00653B39" w:rsidP="0096159F">
      <w:pPr>
        <w:rPr>
          <w:rFonts w:eastAsia="Times New Roman"/>
          <w:lang w:eastAsia="es-CO"/>
        </w:rPr>
      </w:pPr>
      <w:r w:rsidRPr="005353F9">
        <w:rPr>
          <w:rFonts w:eastAsia="Times New Roman"/>
          <w:lang w:eastAsia="es-CO"/>
        </w:rPr>
        <w:t>El rango de la BCR</w:t>
      </w:r>
      <w:r>
        <w:rPr>
          <w:rFonts w:eastAsia="Times New Roman"/>
          <w:lang w:eastAsia="es-CO"/>
        </w:rPr>
        <w:t>ij</w:t>
      </w:r>
      <w:r w:rsidRPr="005353F9">
        <w:rPr>
          <w:rFonts w:eastAsia="Times New Roman"/>
          <w:lang w:eastAsia="es-CO"/>
        </w:rPr>
        <w:t xml:space="preserve"> se ubica entre -1 y 1, reflejando una ventaja competitiva cuando es positivo y una desventaja cuando es negativo. La ventaja será mayor entre más cercana esté de 1 y la desventaja mayor entre más se acerque a –1.</w:t>
      </w:r>
    </w:p>
    <w:p w:rsidR="00653B39" w:rsidRDefault="00653B39" w:rsidP="00653B39">
      <w:pPr>
        <w:rPr>
          <w:rFonts w:eastAsia="Times New Roman"/>
          <w:lang w:eastAsia="es-CO"/>
        </w:rPr>
      </w:pPr>
    </w:p>
    <w:p w:rsidR="00653B39" w:rsidRPr="003B1960" w:rsidRDefault="0096159F" w:rsidP="00653B39">
      <w:pPr>
        <w:rPr>
          <w:rFonts w:eastAsia="Times New Roman"/>
          <w:color w:val="000000"/>
          <w:lang w:eastAsia="es-CO"/>
        </w:rPr>
      </w:pPr>
      <w:r>
        <w:rPr>
          <w:rFonts w:eastAsia="Times New Roman"/>
          <w:lang w:eastAsia="es-CO"/>
        </w:rPr>
        <w:t xml:space="preserve">Tabla 6. </w:t>
      </w:r>
      <w:r w:rsidR="00653B39" w:rsidRPr="003B1960">
        <w:rPr>
          <w:rFonts w:eastAsia="Times New Roman"/>
          <w:color w:val="000000"/>
          <w:lang w:eastAsia="es-CO"/>
        </w:rPr>
        <w:t xml:space="preserve">Indice de Balanza Comercial Relativa de Sectores de Santander en el mercado de Estados Unidos </w:t>
      </w:r>
      <w:r w:rsidR="00653B39" w:rsidRPr="003B1960">
        <w:rPr>
          <w:highlight w:val="lightGray"/>
        </w:rPr>
        <w:t>Bcr</w:t>
      </w:r>
      <w:r w:rsidR="00653B39" w:rsidRPr="003B1960">
        <w:rPr>
          <w:highlight w:val="lightGray"/>
          <w:vertAlign w:val="subscript"/>
        </w:rPr>
        <w:t>ij</w:t>
      </w:r>
    </w:p>
    <w:tbl>
      <w:tblPr>
        <w:tblW w:w="485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6"/>
        <w:gridCol w:w="807"/>
        <w:gridCol w:w="874"/>
        <w:gridCol w:w="874"/>
        <w:gridCol w:w="874"/>
        <w:gridCol w:w="875"/>
        <w:gridCol w:w="882"/>
        <w:gridCol w:w="2896"/>
      </w:tblGrid>
      <w:tr w:rsidR="00653B39" w:rsidRPr="000712E5" w:rsidTr="00653B39">
        <w:trPr>
          <w:trHeight w:val="855"/>
        </w:trPr>
        <w:tc>
          <w:tcPr>
            <w:tcW w:w="365" w:type="pct"/>
            <w:shd w:val="clear" w:color="auto" w:fill="auto"/>
            <w:noWrap/>
            <w:vAlign w:val="bottom"/>
            <w:hideMark/>
          </w:tcPr>
          <w:p w:rsidR="00653B39" w:rsidRPr="00371C09" w:rsidRDefault="00653B39" w:rsidP="00653B39">
            <w:pPr>
              <w:rPr>
                <w:rFonts w:eastAsia="Times New Roman"/>
                <w:b/>
                <w:color w:val="000000"/>
                <w:sz w:val="20"/>
                <w:szCs w:val="20"/>
                <w:lang w:eastAsia="es-CO"/>
              </w:rPr>
            </w:pPr>
            <w:r w:rsidRPr="00371C09">
              <w:rPr>
                <w:rFonts w:eastAsia="Times New Roman"/>
                <w:b/>
                <w:color w:val="000000"/>
                <w:sz w:val="20"/>
                <w:szCs w:val="20"/>
                <w:lang w:eastAsia="es-CO"/>
              </w:rPr>
              <w:t> CAP</w:t>
            </w:r>
          </w:p>
        </w:tc>
        <w:tc>
          <w:tcPr>
            <w:tcW w:w="463"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2006</w:t>
            </w:r>
          </w:p>
        </w:tc>
        <w:tc>
          <w:tcPr>
            <w:tcW w:w="501"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2007</w:t>
            </w:r>
          </w:p>
        </w:tc>
        <w:tc>
          <w:tcPr>
            <w:tcW w:w="501"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2008</w:t>
            </w:r>
          </w:p>
        </w:tc>
        <w:tc>
          <w:tcPr>
            <w:tcW w:w="501"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2009</w:t>
            </w:r>
          </w:p>
        </w:tc>
        <w:tc>
          <w:tcPr>
            <w:tcW w:w="502"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2010</w:t>
            </w:r>
          </w:p>
        </w:tc>
        <w:tc>
          <w:tcPr>
            <w:tcW w:w="506"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2011</w:t>
            </w:r>
          </w:p>
        </w:tc>
        <w:tc>
          <w:tcPr>
            <w:tcW w:w="1661" w:type="pct"/>
            <w:shd w:val="clear" w:color="auto" w:fill="auto"/>
            <w:vAlign w:val="bottom"/>
            <w:hideMark/>
          </w:tcPr>
          <w:p w:rsidR="00653B39" w:rsidRPr="000712E5" w:rsidRDefault="00653B39" w:rsidP="00653B39">
            <w:pPr>
              <w:rPr>
                <w:rFonts w:eastAsia="Times New Roman"/>
                <w:b/>
                <w:bCs/>
                <w:color w:val="000000"/>
                <w:sz w:val="20"/>
                <w:szCs w:val="20"/>
                <w:lang w:eastAsia="es-CO"/>
              </w:rPr>
            </w:pPr>
            <w:r w:rsidRPr="000712E5">
              <w:rPr>
                <w:rFonts w:eastAsia="Times New Roman"/>
                <w:b/>
                <w:bCs/>
                <w:color w:val="000000"/>
                <w:sz w:val="20"/>
                <w:szCs w:val="20"/>
                <w:lang w:eastAsia="es-CO"/>
              </w:rPr>
              <w:t xml:space="preserve">Valoración </w:t>
            </w:r>
            <w:r>
              <w:rPr>
                <w:rFonts w:eastAsia="Times New Roman"/>
                <w:b/>
                <w:bCs/>
                <w:color w:val="000000"/>
                <w:sz w:val="20"/>
                <w:szCs w:val="20"/>
                <w:lang w:eastAsia="es-CO"/>
              </w:rPr>
              <w:t>Santander respecto al mercado</w:t>
            </w:r>
            <w:r w:rsidRPr="000712E5">
              <w:rPr>
                <w:rFonts w:eastAsia="Times New Roman"/>
                <w:b/>
                <w:bCs/>
                <w:color w:val="000000"/>
                <w:sz w:val="20"/>
                <w:szCs w:val="20"/>
                <w:lang w:eastAsia="es-CO"/>
              </w:rPr>
              <w:t xml:space="preserve"> Estados Unidos</w:t>
            </w:r>
          </w:p>
        </w:tc>
      </w:tr>
      <w:tr w:rsidR="00653B39" w:rsidRPr="000712E5" w:rsidTr="00653B39">
        <w:trPr>
          <w:trHeight w:val="300"/>
        </w:trPr>
        <w:tc>
          <w:tcPr>
            <w:tcW w:w="36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27</w:t>
            </w:r>
          </w:p>
        </w:tc>
        <w:tc>
          <w:tcPr>
            <w:tcW w:w="463"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0,09</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0,16</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0,97</w:t>
            </w:r>
          </w:p>
        </w:tc>
        <w:tc>
          <w:tcPr>
            <w:tcW w:w="502"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0,99</w:t>
            </w:r>
          </w:p>
        </w:tc>
        <w:tc>
          <w:tcPr>
            <w:tcW w:w="506"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0,99</w:t>
            </w:r>
          </w:p>
        </w:tc>
        <w:tc>
          <w:tcPr>
            <w:tcW w:w="1661" w:type="pct"/>
            <w:shd w:val="clear" w:color="auto" w:fill="auto"/>
            <w:noWrap/>
            <w:vAlign w:val="bottom"/>
          </w:tcPr>
          <w:p w:rsidR="00653B39" w:rsidRPr="000F479C" w:rsidRDefault="00653B39" w:rsidP="0096159F">
            <w:pPr>
              <w:ind w:left="-10" w:firstLine="10"/>
              <w:rPr>
                <w:rFonts w:eastAsia="Times New Roman"/>
                <w:color w:val="000000"/>
                <w:sz w:val="18"/>
                <w:szCs w:val="18"/>
                <w:lang w:eastAsia="es-CO"/>
              </w:rPr>
            </w:pPr>
            <w:r w:rsidRPr="000F479C">
              <w:rPr>
                <w:rFonts w:eastAsia="Times New Roman"/>
                <w:color w:val="000000"/>
                <w:sz w:val="18"/>
                <w:szCs w:val="18"/>
                <w:lang w:eastAsia="es-CO"/>
              </w:rPr>
              <w:t>Ventaja competitiva en el mercado de Estados Unidos.</w:t>
            </w:r>
          </w:p>
          <w:p w:rsidR="00653B39" w:rsidRPr="000F479C" w:rsidRDefault="00653B39" w:rsidP="0096159F">
            <w:pPr>
              <w:ind w:left="-10" w:firstLine="10"/>
              <w:rPr>
                <w:rFonts w:eastAsia="Times New Roman"/>
                <w:color w:val="000000"/>
                <w:sz w:val="18"/>
                <w:szCs w:val="18"/>
                <w:lang w:eastAsia="es-CO"/>
              </w:rPr>
            </w:pPr>
            <w:r w:rsidRPr="000F479C">
              <w:rPr>
                <w:rFonts w:eastAsia="Times New Roman"/>
                <w:color w:val="000000"/>
                <w:sz w:val="18"/>
                <w:szCs w:val="18"/>
                <w:lang w:eastAsia="es-CO"/>
              </w:rPr>
              <w:t xml:space="preserve">Ha </w:t>
            </w:r>
            <w:r>
              <w:rPr>
                <w:rFonts w:eastAsia="Times New Roman"/>
                <w:color w:val="000000"/>
                <w:sz w:val="18"/>
                <w:szCs w:val="18"/>
                <w:lang w:eastAsia="es-CO"/>
              </w:rPr>
              <w:t xml:space="preserve">logrado </w:t>
            </w:r>
            <w:r w:rsidRPr="000F479C">
              <w:rPr>
                <w:rFonts w:eastAsia="Times New Roman"/>
                <w:color w:val="000000"/>
                <w:sz w:val="18"/>
                <w:szCs w:val="18"/>
                <w:lang w:eastAsia="es-CO"/>
              </w:rPr>
              <w:t>ventaja competitiva</w:t>
            </w:r>
            <w:r>
              <w:rPr>
                <w:rFonts w:eastAsia="Times New Roman"/>
                <w:color w:val="000000"/>
                <w:sz w:val="18"/>
                <w:szCs w:val="18"/>
                <w:lang w:eastAsia="es-CO"/>
              </w:rPr>
              <w:t xml:space="preserve"> </w:t>
            </w:r>
            <w:r w:rsidRPr="000F479C">
              <w:rPr>
                <w:rFonts w:eastAsia="Times New Roman"/>
                <w:color w:val="000000"/>
                <w:sz w:val="18"/>
                <w:szCs w:val="18"/>
                <w:lang w:eastAsia="es-CO"/>
              </w:rPr>
              <w:t>respecto al año 2006.</w:t>
            </w:r>
          </w:p>
        </w:tc>
      </w:tr>
      <w:tr w:rsidR="00653B39" w:rsidRPr="000712E5" w:rsidTr="00653B39">
        <w:trPr>
          <w:trHeight w:val="300"/>
        </w:trPr>
        <w:tc>
          <w:tcPr>
            <w:tcW w:w="36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9</w:t>
            </w:r>
          </w:p>
        </w:tc>
        <w:tc>
          <w:tcPr>
            <w:tcW w:w="463"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2"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6"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1661" w:type="pct"/>
            <w:shd w:val="clear" w:color="auto" w:fill="auto"/>
            <w:noWrap/>
            <w:vAlign w:val="bottom"/>
          </w:tcPr>
          <w:p w:rsidR="00653B39" w:rsidRDefault="00653B39" w:rsidP="0096159F">
            <w:pPr>
              <w:ind w:left="-10" w:firstLine="10"/>
              <w:rPr>
                <w:rFonts w:eastAsia="Times New Roman"/>
                <w:color w:val="000000"/>
                <w:sz w:val="18"/>
                <w:szCs w:val="18"/>
                <w:lang w:eastAsia="es-CO"/>
              </w:rPr>
            </w:pPr>
            <w:r>
              <w:rPr>
                <w:rFonts w:eastAsia="Times New Roman"/>
                <w:color w:val="000000"/>
                <w:sz w:val="18"/>
                <w:szCs w:val="18"/>
                <w:lang w:eastAsia="es-CO"/>
              </w:rPr>
              <w:t xml:space="preserve">Alta ventaja competitiva del sector </w:t>
            </w:r>
          </w:p>
          <w:p w:rsidR="00653B39" w:rsidRDefault="00653B39" w:rsidP="0096159F">
            <w:pPr>
              <w:ind w:left="-10" w:firstLine="10"/>
              <w:rPr>
                <w:rFonts w:eastAsia="Times New Roman"/>
                <w:color w:val="000000"/>
                <w:sz w:val="18"/>
                <w:szCs w:val="18"/>
                <w:lang w:eastAsia="es-CO"/>
              </w:rPr>
            </w:pPr>
            <w:r>
              <w:rPr>
                <w:rFonts w:eastAsia="Times New Roman"/>
                <w:color w:val="000000"/>
                <w:sz w:val="18"/>
                <w:szCs w:val="18"/>
                <w:lang w:eastAsia="es-CO"/>
              </w:rPr>
              <w:t>En el mercado de Estados Unidos</w:t>
            </w:r>
          </w:p>
          <w:p w:rsidR="00653B39" w:rsidRPr="000F479C" w:rsidRDefault="00653B39" w:rsidP="0096159F">
            <w:pPr>
              <w:ind w:left="-10" w:firstLine="10"/>
              <w:rPr>
                <w:rFonts w:eastAsia="Times New Roman"/>
                <w:color w:val="000000"/>
                <w:sz w:val="18"/>
                <w:szCs w:val="18"/>
                <w:lang w:eastAsia="es-CO"/>
              </w:rPr>
            </w:pPr>
            <w:r>
              <w:rPr>
                <w:rFonts w:eastAsia="Times New Roman"/>
                <w:color w:val="000000"/>
                <w:sz w:val="18"/>
                <w:szCs w:val="18"/>
                <w:lang w:eastAsia="es-CO"/>
              </w:rPr>
              <w:t>Se ha sostenido la ventaja entre 2006 – 2011.</w:t>
            </w:r>
          </w:p>
        </w:tc>
      </w:tr>
      <w:tr w:rsidR="00653B39" w:rsidRPr="000712E5" w:rsidTr="00653B39">
        <w:trPr>
          <w:trHeight w:val="300"/>
        </w:trPr>
        <w:tc>
          <w:tcPr>
            <w:tcW w:w="36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71</w:t>
            </w:r>
          </w:p>
        </w:tc>
        <w:tc>
          <w:tcPr>
            <w:tcW w:w="463"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0,98</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0,22</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-0,27</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-0,76</w:t>
            </w:r>
          </w:p>
        </w:tc>
        <w:tc>
          <w:tcPr>
            <w:tcW w:w="502"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-0,98</w:t>
            </w:r>
          </w:p>
        </w:tc>
        <w:tc>
          <w:tcPr>
            <w:tcW w:w="506"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1661" w:type="pct"/>
            <w:shd w:val="clear" w:color="auto" w:fill="auto"/>
            <w:noWrap/>
            <w:vAlign w:val="bottom"/>
          </w:tcPr>
          <w:p w:rsidR="00653B39" w:rsidRPr="000F479C" w:rsidRDefault="00653B39" w:rsidP="0096159F">
            <w:pPr>
              <w:ind w:left="-10" w:firstLine="10"/>
              <w:rPr>
                <w:rFonts w:eastAsia="Times New Roman"/>
                <w:color w:val="000000"/>
                <w:sz w:val="18"/>
                <w:szCs w:val="18"/>
                <w:lang w:eastAsia="es-CO"/>
              </w:rPr>
            </w:pPr>
            <w:r>
              <w:rPr>
                <w:rFonts w:eastAsia="Times New Roman"/>
                <w:color w:val="000000"/>
                <w:sz w:val="18"/>
                <w:szCs w:val="18"/>
                <w:lang w:eastAsia="es-CO"/>
              </w:rPr>
              <w:t>No presenta ventaja competitiva en el mercado de Estados Unidos. Pérdida de ventaja competitiva a partir del año 2008. En el año 2006 se presentó alta ventaja competitiva.</w:t>
            </w:r>
          </w:p>
        </w:tc>
      </w:tr>
      <w:tr w:rsidR="00653B39" w:rsidRPr="000712E5" w:rsidTr="00653B39">
        <w:trPr>
          <w:trHeight w:val="300"/>
        </w:trPr>
        <w:tc>
          <w:tcPr>
            <w:tcW w:w="36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29</w:t>
            </w:r>
          </w:p>
        </w:tc>
        <w:tc>
          <w:tcPr>
            <w:tcW w:w="463"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-0,01</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0,75</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0,98</w:t>
            </w:r>
          </w:p>
        </w:tc>
        <w:tc>
          <w:tcPr>
            <w:tcW w:w="502"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0,88</w:t>
            </w:r>
          </w:p>
        </w:tc>
        <w:tc>
          <w:tcPr>
            <w:tcW w:w="506"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0,20</w:t>
            </w:r>
          </w:p>
        </w:tc>
        <w:tc>
          <w:tcPr>
            <w:tcW w:w="1661" w:type="pct"/>
            <w:shd w:val="clear" w:color="auto" w:fill="auto"/>
            <w:noWrap/>
            <w:vAlign w:val="bottom"/>
          </w:tcPr>
          <w:p w:rsidR="00653B39" w:rsidRPr="000F479C" w:rsidRDefault="00653B39" w:rsidP="0096159F">
            <w:pPr>
              <w:ind w:left="-10" w:firstLine="10"/>
              <w:rPr>
                <w:rFonts w:eastAsia="Times New Roman"/>
                <w:color w:val="000000"/>
                <w:sz w:val="18"/>
                <w:szCs w:val="18"/>
                <w:lang w:eastAsia="es-CO"/>
              </w:rPr>
            </w:pPr>
            <w:r>
              <w:rPr>
                <w:rFonts w:eastAsia="Times New Roman"/>
                <w:color w:val="000000"/>
                <w:sz w:val="18"/>
                <w:szCs w:val="18"/>
                <w:lang w:eastAsia="es-CO"/>
              </w:rPr>
              <w:t>Baja ventaja competitiva en el año 2011.  Se ha ganado ventaja competitiva en el mercado de Estados Unidos a partir del año 2008, que disminuyó en el 2011.</w:t>
            </w:r>
          </w:p>
        </w:tc>
      </w:tr>
      <w:tr w:rsidR="00653B39" w:rsidRPr="000712E5" w:rsidTr="00653B39">
        <w:trPr>
          <w:trHeight w:val="300"/>
        </w:trPr>
        <w:tc>
          <w:tcPr>
            <w:tcW w:w="36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87</w:t>
            </w:r>
          </w:p>
        </w:tc>
        <w:tc>
          <w:tcPr>
            <w:tcW w:w="463"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2"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6"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-0,87</w:t>
            </w:r>
          </w:p>
        </w:tc>
        <w:tc>
          <w:tcPr>
            <w:tcW w:w="1661" w:type="pct"/>
            <w:shd w:val="clear" w:color="auto" w:fill="auto"/>
            <w:noWrap/>
            <w:vAlign w:val="bottom"/>
          </w:tcPr>
          <w:p w:rsidR="00653B39" w:rsidRPr="000F479C" w:rsidRDefault="00653B39" w:rsidP="0096159F">
            <w:pPr>
              <w:ind w:left="-10" w:firstLine="10"/>
              <w:rPr>
                <w:rFonts w:eastAsia="Times New Roman"/>
                <w:color w:val="000000"/>
                <w:sz w:val="18"/>
                <w:szCs w:val="18"/>
                <w:lang w:eastAsia="es-CO"/>
              </w:rPr>
            </w:pPr>
            <w:r>
              <w:rPr>
                <w:rFonts w:eastAsia="Times New Roman"/>
                <w:color w:val="000000"/>
                <w:sz w:val="18"/>
                <w:szCs w:val="18"/>
                <w:lang w:eastAsia="es-CO"/>
              </w:rPr>
              <w:t>No presenta ventaja competitiva en el mercado de Estados Unidos.</w:t>
            </w:r>
          </w:p>
        </w:tc>
      </w:tr>
      <w:tr w:rsidR="00653B39" w:rsidRPr="000712E5" w:rsidTr="00653B39">
        <w:trPr>
          <w:trHeight w:val="300"/>
        </w:trPr>
        <w:tc>
          <w:tcPr>
            <w:tcW w:w="36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lastRenderedPageBreak/>
              <w:t>15</w:t>
            </w:r>
          </w:p>
        </w:tc>
        <w:tc>
          <w:tcPr>
            <w:tcW w:w="463"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0,99</w:t>
            </w:r>
          </w:p>
        </w:tc>
        <w:tc>
          <w:tcPr>
            <w:tcW w:w="501" w:type="pct"/>
            <w:shd w:val="clear" w:color="auto" w:fill="auto"/>
            <w:noWrap/>
            <w:vAlign w:val="bottom"/>
          </w:tcPr>
          <w:p w:rsidR="00653B39" w:rsidRDefault="00653B39" w:rsidP="00653B39">
            <w:pPr>
              <w:rPr>
                <w:rFonts w:ascii="Calibri" w:hAnsi="Calibri"/>
                <w:color w:val="000000"/>
                <w:sz w:val="22"/>
                <w:szCs w:val="22"/>
              </w:rPr>
            </w:pPr>
            <w:r>
              <w:rPr>
                <w:rFonts w:ascii="Calibri" w:hAnsi="Calibri"/>
                <w:color w:val="000000"/>
                <w:sz w:val="22"/>
                <w:szCs w:val="22"/>
              </w:rPr>
              <w:t>n.d</w:t>
            </w:r>
          </w:p>
        </w:tc>
        <w:tc>
          <w:tcPr>
            <w:tcW w:w="501" w:type="pct"/>
            <w:shd w:val="clear" w:color="auto" w:fill="auto"/>
            <w:noWrap/>
            <w:vAlign w:val="bottom"/>
          </w:tcPr>
          <w:p w:rsidR="00653B39" w:rsidRDefault="00653B39" w:rsidP="00653B39">
            <w:pPr>
              <w:rPr>
                <w:rFonts w:ascii="Calibri" w:hAnsi="Calibri"/>
                <w:color w:val="000000"/>
                <w:sz w:val="22"/>
                <w:szCs w:val="22"/>
              </w:rPr>
            </w:pPr>
            <w:r>
              <w:rPr>
                <w:rFonts w:ascii="Calibri" w:hAnsi="Calibri"/>
                <w:color w:val="000000"/>
                <w:sz w:val="22"/>
                <w:szCs w:val="22"/>
              </w:rPr>
              <w:t>n.d</w:t>
            </w:r>
          </w:p>
        </w:tc>
        <w:tc>
          <w:tcPr>
            <w:tcW w:w="502" w:type="pct"/>
            <w:shd w:val="clear" w:color="auto" w:fill="auto"/>
            <w:noWrap/>
            <w:vAlign w:val="bottom"/>
          </w:tcPr>
          <w:p w:rsidR="00653B39" w:rsidRDefault="00653B39" w:rsidP="00653B39">
            <w:pPr>
              <w:rPr>
                <w:rFonts w:ascii="Calibri" w:hAnsi="Calibri"/>
                <w:color w:val="000000"/>
                <w:sz w:val="22"/>
                <w:szCs w:val="22"/>
              </w:rPr>
            </w:pPr>
            <w:r>
              <w:rPr>
                <w:rFonts w:ascii="Calibri" w:hAnsi="Calibri"/>
                <w:color w:val="000000"/>
                <w:sz w:val="22"/>
                <w:szCs w:val="22"/>
              </w:rPr>
              <w:t>n.d.</w:t>
            </w:r>
          </w:p>
        </w:tc>
        <w:tc>
          <w:tcPr>
            <w:tcW w:w="506"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1661" w:type="pct"/>
            <w:shd w:val="clear" w:color="auto" w:fill="auto"/>
            <w:noWrap/>
            <w:vAlign w:val="bottom"/>
          </w:tcPr>
          <w:p w:rsidR="00653B39" w:rsidRPr="000F479C" w:rsidRDefault="00653B39" w:rsidP="0096159F">
            <w:pPr>
              <w:ind w:left="-10" w:firstLine="10"/>
              <w:rPr>
                <w:rFonts w:eastAsia="Times New Roman"/>
                <w:color w:val="000000"/>
                <w:sz w:val="18"/>
                <w:szCs w:val="18"/>
                <w:lang w:eastAsia="es-CO"/>
              </w:rPr>
            </w:pPr>
            <w:r>
              <w:rPr>
                <w:rFonts w:eastAsia="Times New Roman"/>
                <w:color w:val="000000"/>
                <w:sz w:val="18"/>
                <w:szCs w:val="18"/>
                <w:lang w:eastAsia="es-CO"/>
              </w:rPr>
              <w:t xml:space="preserve">El sector no presenta ventaja competitiva en el mercado de Estados Unidos.  En los años 2006 </w:t>
            </w:r>
            <w:r w:rsidR="0096159F">
              <w:rPr>
                <w:rFonts w:eastAsia="Times New Roman"/>
                <w:color w:val="000000"/>
                <w:sz w:val="18"/>
                <w:szCs w:val="18"/>
                <w:lang w:eastAsia="es-CO"/>
              </w:rPr>
              <w:t>tenía</w:t>
            </w:r>
            <w:r>
              <w:rPr>
                <w:rFonts w:eastAsia="Times New Roman"/>
                <w:color w:val="000000"/>
                <w:sz w:val="18"/>
                <w:szCs w:val="18"/>
                <w:lang w:eastAsia="es-CO"/>
              </w:rPr>
              <w:t xml:space="preserve"> alta ventaja competitiva en el mercado de Estados Unidos, que se perdió.</w:t>
            </w:r>
          </w:p>
        </w:tc>
      </w:tr>
      <w:tr w:rsidR="00653B39" w:rsidRPr="000712E5" w:rsidTr="00653B39">
        <w:trPr>
          <w:trHeight w:val="300"/>
        </w:trPr>
        <w:tc>
          <w:tcPr>
            <w:tcW w:w="36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84</w:t>
            </w:r>
          </w:p>
        </w:tc>
        <w:tc>
          <w:tcPr>
            <w:tcW w:w="463"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-0,97</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-0,98</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-0,97</w:t>
            </w:r>
          </w:p>
        </w:tc>
        <w:tc>
          <w:tcPr>
            <w:tcW w:w="502"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-0,96</w:t>
            </w:r>
          </w:p>
        </w:tc>
        <w:tc>
          <w:tcPr>
            <w:tcW w:w="506"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-0,97</w:t>
            </w:r>
          </w:p>
        </w:tc>
        <w:tc>
          <w:tcPr>
            <w:tcW w:w="1661" w:type="pct"/>
            <w:shd w:val="clear" w:color="auto" w:fill="auto"/>
            <w:noWrap/>
            <w:vAlign w:val="bottom"/>
          </w:tcPr>
          <w:p w:rsidR="00653B39" w:rsidRPr="000F479C" w:rsidRDefault="00653B39" w:rsidP="0096159F">
            <w:pPr>
              <w:ind w:left="-10" w:firstLine="10"/>
              <w:rPr>
                <w:rFonts w:eastAsia="Times New Roman"/>
                <w:color w:val="000000"/>
                <w:sz w:val="18"/>
                <w:szCs w:val="18"/>
                <w:lang w:eastAsia="es-CO"/>
              </w:rPr>
            </w:pPr>
            <w:r>
              <w:rPr>
                <w:rFonts w:eastAsia="Times New Roman"/>
                <w:color w:val="000000"/>
                <w:sz w:val="18"/>
                <w:szCs w:val="18"/>
                <w:lang w:eastAsia="es-CO"/>
              </w:rPr>
              <w:t>No presenta ventaja competitiva en el mercado de Estados Unidos.</w:t>
            </w:r>
          </w:p>
        </w:tc>
      </w:tr>
      <w:tr w:rsidR="00653B39" w:rsidRPr="000712E5" w:rsidTr="00653B39">
        <w:trPr>
          <w:trHeight w:val="300"/>
        </w:trPr>
        <w:tc>
          <w:tcPr>
            <w:tcW w:w="36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62</w:t>
            </w:r>
          </w:p>
        </w:tc>
        <w:tc>
          <w:tcPr>
            <w:tcW w:w="463"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0,93</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0,91</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0,99</w:t>
            </w:r>
          </w:p>
        </w:tc>
        <w:tc>
          <w:tcPr>
            <w:tcW w:w="502"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0,97</w:t>
            </w:r>
          </w:p>
        </w:tc>
        <w:tc>
          <w:tcPr>
            <w:tcW w:w="506"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0,88</w:t>
            </w:r>
          </w:p>
        </w:tc>
        <w:tc>
          <w:tcPr>
            <w:tcW w:w="1661" w:type="pct"/>
            <w:shd w:val="clear" w:color="auto" w:fill="auto"/>
            <w:noWrap/>
            <w:vAlign w:val="bottom"/>
          </w:tcPr>
          <w:p w:rsidR="00653B39" w:rsidRPr="000F479C" w:rsidRDefault="00653B39" w:rsidP="0096159F">
            <w:pPr>
              <w:ind w:left="-10" w:firstLine="10"/>
              <w:rPr>
                <w:rFonts w:eastAsia="Times New Roman"/>
                <w:color w:val="000000"/>
                <w:sz w:val="18"/>
                <w:szCs w:val="18"/>
                <w:lang w:eastAsia="es-CO"/>
              </w:rPr>
            </w:pPr>
            <w:r>
              <w:rPr>
                <w:rFonts w:eastAsia="Times New Roman"/>
                <w:color w:val="000000"/>
                <w:sz w:val="18"/>
                <w:szCs w:val="18"/>
                <w:lang w:eastAsia="es-CO"/>
              </w:rPr>
              <w:t>Presenta alta ventaja competitiva en el mercado de Estados Unidos, que se ha logrado mantener entre 2006 – 2011.</w:t>
            </w:r>
          </w:p>
        </w:tc>
      </w:tr>
      <w:tr w:rsidR="00653B39" w:rsidRPr="000712E5" w:rsidTr="00653B39">
        <w:trPr>
          <w:trHeight w:val="300"/>
        </w:trPr>
        <w:tc>
          <w:tcPr>
            <w:tcW w:w="36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39</w:t>
            </w:r>
          </w:p>
        </w:tc>
        <w:tc>
          <w:tcPr>
            <w:tcW w:w="463"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-0,97</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-0,99</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2"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-0,99</w:t>
            </w:r>
          </w:p>
        </w:tc>
        <w:tc>
          <w:tcPr>
            <w:tcW w:w="506"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1661" w:type="pct"/>
            <w:shd w:val="clear" w:color="auto" w:fill="auto"/>
            <w:noWrap/>
            <w:vAlign w:val="bottom"/>
          </w:tcPr>
          <w:p w:rsidR="00653B39" w:rsidRPr="000F479C" w:rsidRDefault="00653B39" w:rsidP="0096159F">
            <w:pPr>
              <w:ind w:left="-10" w:firstLine="10"/>
              <w:rPr>
                <w:rFonts w:eastAsia="Times New Roman"/>
                <w:color w:val="000000"/>
                <w:sz w:val="18"/>
                <w:szCs w:val="18"/>
                <w:lang w:eastAsia="es-CO"/>
              </w:rPr>
            </w:pPr>
            <w:r>
              <w:rPr>
                <w:rFonts w:eastAsia="Times New Roman"/>
                <w:color w:val="000000"/>
                <w:sz w:val="18"/>
                <w:szCs w:val="18"/>
                <w:lang w:eastAsia="es-CO"/>
              </w:rPr>
              <w:t>No presenta ventaja competitiva en el mercado de Estados Unidos.</w:t>
            </w:r>
          </w:p>
        </w:tc>
      </w:tr>
      <w:tr w:rsidR="00653B39" w:rsidRPr="000712E5" w:rsidTr="00653B39">
        <w:trPr>
          <w:trHeight w:val="300"/>
        </w:trPr>
        <w:tc>
          <w:tcPr>
            <w:tcW w:w="36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64</w:t>
            </w:r>
          </w:p>
        </w:tc>
        <w:tc>
          <w:tcPr>
            <w:tcW w:w="463"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0,99</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2"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6"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1661" w:type="pct"/>
            <w:shd w:val="clear" w:color="auto" w:fill="auto"/>
            <w:noWrap/>
            <w:vAlign w:val="bottom"/>
          </w:tcPr>
          <w:p w:rsidR="00653B39" w:rsidRDefault="00653B39" w:rsidP="0096159F">
            <w:pPr>
              <w:ind w:left="-10" w:firstLine="10"/>
              <w:rPr>
                <w:rFonts w:eastAsia="Times New Roman"/>
                <w:color w:val="000000"/>
                <w:sz w:val="18"/>
                <w:szCs w:val="18"/>
                <w:lang w:eastAsia="es-CO"/>
              </w:rPr>
            </w:pPr>
            <w:r>
              <w:rPr>
                <w:rFonts w:eastAsia="Times New Roman"/>
                <w:color w:val="000000"/>
                <w:sz w:val="18"/>
                <w:szCs w:val="18"/>
                <w:lang w:eastAsia="es-CO"/>
              </w:rPr>
              <w:t xml:space="preserve">Muy alta ventaja competitiva en el mercado de Estados Unidos. </w:t>
            </w:r>
          </w:p>
          <w:p w:rsidR="00653B39" w:rsidRPr="000F479C" w:rsidRDefault="00653B39" w:rsidP="0096159F">
            <w:pPr>
              <w:ind w:left="-10" w:firstLine="10"/>
              <w:rPr>
                <w:rFonts w:eastAsia="Times New Roman"/>
                <w:color w:val="000000"/>
                <w:sz w:val="18"/>
                <w:szCs w:val="18"/>
                <w:lang w:eastAsia="es-CO"/>
              </w:rPr>
            </w:pPr>
            <w:r>
              <w:rPr>
                <w:rFonts w:eastAsia="Times New Roman"/>
                <w:color w:val="000000"/>
                <w:sz w:val="18"/>
                <w:szCs w:val="18"/>
                <w:lang w:eastAsia="es-CO"/>
              </w:rPr>
              <w:t>Se ha mantenido la ventaja competitiva en el mercado de Estados Unidos entre 2006-2011</w:t>
            </w:r>
          </w:p>
        </w:tc>
      </w:tr>
      <w:tr w:rsidR="00653B39" w:rsidRPr="000712E5" w:rsidTr="00653B39">
        <w:trPr>
          <w:trHeight w:val="300"/>
        </w:trPr>
        <w:tc>
          <w:tcPr>
            <w:tcW w:w="36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61</w:t>
            </w:r>
          </w:p>
        </w:tc>
        <w:tc>
          <w:tcPr>
            <w:tcW w:w="463"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0,94</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0,86</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1,00</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0,86</w:t>
            </w:r>
          </w:p>
        </w:tc>
        <w:tc>
          <w:tcPr>
            <w:tcW w:w="502"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0,67</w:t>
            </w:r>
          </w:p>
        </w:tc>
        <w:tc>
          <w:tcPr>
            <w:tcW w:w="506"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0,48</w:t>
            </w:r>
          </w:p>
        </w:tc>
        <w:tc>
          <w:tcPr>
            <w:tcW w:w="1661" w:type="pct"/>
            <w:shd w:val="clear" w:color="auto" w:fill="auto"/>
            <w:noWrap/>
            <w:vAlign w:val="bottom"/>
          </w:tcPr>
          <w:p w:rsidR="00653B39" w:rsidRPr="000F479C" w:rsidRDefault="00653B39" w:rsidP="0096159F">
            <w:pPr>
              <w:ind w:left="-10" w:firstLine="10"/>
              <w:rPr>
                <w:rFonts w:eastAsia="Times New Roman"/>
                <w:color w:val="000000"/>
                <w:sz w:val="18"/>
                <w:szCs w:val="18"/>
                <w:lang w:eastAsia="es-CO"/>
              </w:rPr>
            </w:pPr>
            <w:r>
              <w:rPr>
                <w:rFonts w:eastAsia="Times New Roman"/>
                <w:color w:val="000000"/>
                <w:sz w:val="18"/>
                <w:szCs w:val="18"/>
                <w:lang w:eastAsia="es-CO"/>
              </w:rPr>
              <w:t>Presenta buena ventaja competitiva en el mercado de Estados Unidos.  Se presenta disminución de la ventaja competitiva en el 2011 respecto al 2006.</w:t>
            </w:r>
          </w:p>
        </w:tc>
      </w:tr>
      <w:tr w:rsidR="00653B39" w:rsidRPr="000712E5" w:rsidTr="00653B39">
        <w:trPr>
          <w:trHeight w:val="300"/>
        </w:trPr>
        <w:tc>
          <w:tcPr>
            <w:tcW w:w="36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w:t>
            </w:r>
          </w:p>
        </w:tc>
        <w:tc>
          <w:tcPr>
            <w:tcW w:w="463" w:type="pct"/>
            <w:shd w:val="clear" w:color="auto" w:fill="auto"/>
            <w:noWrap/>
            <w:vAlign w:val="bottom"/>
          </w:tcPr>
          <w:p w:rsidR="00653B39" w:rsidRDefault="00653B39" w:rsidP="00653B39">
            <w:pPr>
              <w:rPr>
                <w:rFonts w:ascii="Calibri" w:hAnsi="Calibri"/>
                <w:color w:val="000000"/>
                <w:sz w:val="22"/>
                <w:szCs w:val="22"/>
              </w:rPr>
            </w:pPr>
            <w:r>
              <w:rPr>
                <w:rFonts w:ascii="Calibri" w:hAnsi="Calibri"/>
                <w:color w:val="000000"/>
                <w:sz w:val="22"/>
                <w:szCs w:val="22"/>
              </w:rPr>
              <w:t>n.d</w:t>
            </w:r>
          </w:p>
        </w:tc>
        <w:tc>
          <w:tcPr>
            <w:tcW w:w="501" w:type="pct"/>
            <w:shd w:val="clear" w:color="auto" w:fill="auto"/>
            <w:noWrap/>
            <w:vAlign w:val="bottom"/>
          </w:tcPr>
          <w:p w:rsidR="00653B39" w:rsidRDefault="00653B39" w:rsidP="00653B39">
            <w:pPr>
              <w:rPr>
                <w:rFonts w:ascii="Calibri" w:hAnsi="Calibri"/>
                <w:color w:val="000000"/>
                <w:sz w:val="22"/>
                <w:szCs w:val="22"/>
              </w:rPr>
            </w:pPr>
            <w:r>
              <w:rPr>
                <w:rFonts w:ascii="Calibri" w:hAnsi="Calibri"/>
                <w:color w:val="000000"/>
                <w:sz w:val="22"/>
                <w:szCs w:val="22"/>
              </w:rPr>
              <w:t>n.d</w:t>
            </w:r>
          </w:p>
        </w:tc>
        <w:tc>
          <w:tcPr>
            <w:tcW w:w="501" w:type="pct"/>
            <w:shd w:val="clear" w:color="auto" w:fill="auto"/>
            <w:noWrap/>
            <w:vAlign w:val="bottom"/>
          </w:tcPr>
          <w:p w:rsidR="00653B39" w:rsidRDefault="00653B39" w:rsidP="00653B39">
            <w:pPr>
              <w:rPr>
                <w:rFonts w:ascii="Calibri" w:hAnsi="Calibri"/>
                <w:color w:val="000000"/>
                <w:sz w:val="22"/>
                <w:szCs w:val="22"/>
              </w:rPr>
            </w:pPr>
            <w:r>
              <w:rPr>
                <w:rFonts w:ascii="Calibri" w:hAnsi="Calibri"/>
                <w:color w:val="000000"/>
                <w:sz w:val="22"/>
                <w:szCs w:val="22"/>
              </w:rPr>
              <w:t>n.d</w:t>
            </w:r>
          </w:p>
        </w:tc>
        <w:tc>
          <w:tcPr>
            <w:tcW w:w="501"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w:t>
            </w:r>
          </w:p>
        </w:tc>
        <w:tc>
          <w:tcPr>
            <w:tcW w:w="502"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w:t>
            </w:r>
          </w:p>
        </w:tc>
        <w:tc>
          <w:tcPr>
            <w:tcW w:w="506" w:type="pct"/>
            <w:shd w:val="clear" w:color="auto" w:fill="auto"/>
            <w:noWrap/>
            <w:vAlign w:val="bottom"/>
          </w:tcPr>
          <w:p w:rsidR="00653B39" w:rsidRDefault="00653B39" w:rsidP="00653B39">
            <w:pPr>
              <w:jc w:val="right"/>
              <w:rPr>
                <w:rFonts w:ascii="Calibri" w:hAnsi="Calibri"/>
                <w:color w:val="000000"/>
                <w:sz w:val="22"/>
                <w:szCs w:val="22"/>
              </w:rPr>
            </w:pPr>
            <w:r>
              <w:rPr>
                <w:rFonts w:ascii="Calibri" w:hAnsi="Calibri"/>
                <w:color w:val="000000"/>
                <w:sz w:val="22"/>
                <w:szCs w:val="22"/>
              </w:rPr>
              <w:t>-1</w:t>
            </w:r>
          </w:p>
        </w:tc>
        <w:tc>
          <w:tcPr>
            <w:tcW w:w="1661" w:type="pct"/>
            <w:shd w:val="clear" w:color="auto" w:fill="auto"/>
            <w:noWrap/>
            <w:vAlign w:val="bottom"/>
          </w:tcPr>
          <w:p w:rsidR="00653B39" w:rsidRPr="000F479C" w:rsidRDefault="00653B39" w:rsidP="0096159F">
            <w:pPr>
              <w:ind w:left="-10" w:firstLine="10"/>
              <w:rPr>
                <w:rFonts w:eastAsia="Times New Roman"/>
                <w:color w:val="000000"/>
                <w:sz w:val="18"/>
                <w:szCs w:val="18"/>
                <w:lang w:eastAsia="es-CO"/>
              </w:rPr>
            </w:pPr>
            <w:r>
              <w:rPr>
                <w:rFonts w:eastAsia="Times New Roman"/>
                <w:color w:val="000000"/>
                <w:sz w:val="18"/>
                <w:szCs w:val="18"/>
                <w:lang w:eastAsia="es-CO"/>
              </w:rPr>
              <w:t>No presenta ninguna ventaja competitiva en el mercado de Estados Unidos.</w:t>
            </w:r>
          </w:p>
        </w:tc>
      </w:tr>
    </w:tbl>
    <w:p w:rsidR="00653B39" w:rsidRPr="007842C9" w:rsidRDefault="00653B39" w:rsidP="00653B39">
      <w:r w:rsidRPr="007842C9">
        <w:t>Elaboración propia.</w:t>
      </w:r>
    </w:p>
    <w:p w:rsidR="00653B39" w:rsidRDefault="00653B39" w:rsidP="00653B39">
      <w:pPr>
        <w:rPr>
          <w:b/>
        </w:rPr>
      </w:pPr>
    </w:p>
    <w:p w:rsidR="00653B39" w:rsidRDefault="00653B39" w:rsidP="00653B39">
      <w:pPr>
        <w:rPr>
          <w:b/>
        </w:rPr>
      </w:pPr>
    </w:p>
    <w:p w:rsidR="00653B39" w:rsidRPr="003B1960" w:rsidRDefault="00653B39" w:rsidP="0096159F">
      <w:r w:rsidRPr="003B1960">
        <w:t xml:space="preserve">INDICE DE VENTAJA COMPARATIVA REVELADA.  </w:t>
      </w:r>
    </w:p>
    <w:p w:rsidR="00653B39" w:rsidRPr="003B1960" w:rsidRDefault="00653B39" w:rsidP="00653B39">
      <w:pPr>
        <w:pStyle w:val="Prrafodelista"/>
        <w:ind w:left="360"/>
        <w:rPr>
          <w:b/>
        </w:rPr>
      </w:pPr>
    </w:p>
    <w:p w:rsidR="00653B39" w:rsidRDefault="00653B39" w:rsidP="0096159F">
      <w:r>
        <w:t xml:space="preserve">Establece una relación entre el saldo comercial de una región en un mercado específico para un producto determinado; con el total del intercambio comercial de la región para un producto.  Se establece en un tiempo determinado, que generalmente es un año. El indicador esta generalmente dado para aplicar en intercambios entre países, pero se puede adaptar a una región como el departamento de Santander.  </w:t>
      </w:r>
    </w:p>
    <w:p w:rsidR="00653B39" w:rsidRDefault="00653B39" w:rsidP="00653B39"/>
    <w:p w:rsidR="00653B39" w:rsidRPr="00F1256E" w:rsidRDefault="00650550" w:rsidP="00653B39">
      <m:oMathPara>
        <m:oMathParaPr>
          <m:jc m:val="left"/>
        </m:oMathParaPr>
        <m:oMath>
          <m:sSubSup>
            <m:sSubSupPr>
              <m:ctrlPr>
                <w:rPr>
                  <w:rFonts w:ascii="Cambria Math" w:hAnsi="Cambria Math"/>
                  <w:highlight w:val="lightGray"/>
                </w:rPr>
              </m:ctrlPr>
            </m:sSubSupPr>
            <m:e>
              <m:r>
                <m:rPr>
                  <m:sty m:val="bi"/>
                </m:rPr>
                <w:rPr>
                  <w:rFonts w:ascii="Cambria Math" w:hAnsi="Cambria Math"/>
                  <w:highlight w:val="lightGray"/>
                </w:rPr>
                <m:t>IVCR</m:t>
              </m:r>
            </m:e>
            <m:sub>
              <m:r>
                <m:rPr>
                  <m:sty m:val="bi"/>
                </m:rPr>
                <w:rPr>
                  <w:rFonts w:ascii="Cambria Math" w:hAnsi="Cambria Math"/>
                  <w:highlight w:val="lightGray"/>
                </w:rPr>
                <m:t>it</m:t>
              </m:r>
            </m:sub>
            <m:sup>
              <m:r>
                <m:rPr>
                  <m:sty m:val="bi"/>
                </m:rPr>
                <w:rPr>
                  <w:rFonts w:ascii="Cambria Math" w:hAnsi="Cambria Math"/>
                  <w:highlight w:val="lightGray"/>
                </w:rPr>
                <m:t>k</m:t>
              </m:r>
            </m:sup>
          </m:sSubSup>
          <m:r>
            <m:rPr>
              <m:sty m:val="p"/>
            </m:rPr>
            <w:rPr>
              <w:rFonts w:ascii="Cambria Math" w:hAnsi="Cambria Math"/>
              <w:highlight w:val="lightGray"/>
            </w:rPr>
            <m:t>=</m:t>
          </m:r>
          <m:f>
            <m:fPr>
              <m:ctrlPr>
                <w:rPr>
                  <w:rFonts w:ascii="Cambria Math" w:hAnsi="Cambria Math"/>
                  <w:highlight w:val="lightGray"/>
                </w:rPr>
              </m:ctrlPr>
            </m:fPr>
            <m:num>
              <m:sSubSup>
                <m:sSubSupPr>
                  <m:ctrlPr>
                    <w:rPr>
                      <w:rFonts w:ascii="Cambria Math" w:hAnsi="Cambria Math"/>
                      <w:highlight w:val="lightGray"/>
                    </w:rPr>
                  </m:ctrlPr>
                </m:sSubSupPr>
                <m:e>
                  <m:r>
                    <m:rPr>
                      <m:sty m:val="bi"/>
                    </m:rPr>
                    <w:rPr>
                      <w:rFonts w:ascii="Cambria Math" w:hAnsi="Cambria Math"/>
                      <w:highlight w:val="lightGray"/>
                    </w:rPr>
                    <m:t>X</m:t>
                  </m:r>
                </m:e>
                <m:sub>
                  <m:r>
                    <m:rPr>
                      <m:sty m:val="bi"/>
                    </m:rPr>
                    <w:rPr>
                      <w:rFonts w:ascii="Cambria Math" w:hAnsi="Cambria Math"/>
                      <w:highlight w:val="lightGray"/>
                    </w:rPr>
                    <m:t>ijt</m:t>
                  </m:r>
                </m:sub>
                <m:sup>
                  <m:r>
                    <m:rPr>
                      <m:sty m:val="bi"/>
                    </m:rPr>
                    <w:rPr>
                      <w:rFonts w:ascii="Cambria Math" w:hAnsi="Cambria Math"/>
                      <w:highlight w:val="lightGray"/>
                    </w:rPr>
                    <m:t>k</m:t>
                  </m:r>
                </m:sup>
              </m:sSubSup>
              <m:r>
                <m:rPr>
                  <m:sty m:val="p"/>
                </m:rPr>
                <w:rPr>
                  <w:rFonts w:ascii="Cambria Math" w:hAnsi="Cambria Math"/>
                  <w:highlight w:val="lightGray"/>
                </w:rPr>
                <m:t>-</m:t>
              </m:r>
              <m:sSubSup>
                <m:sSubSupPr>
                  <m:ctrlPr>
                    <w:rPr>
                      <w:rFonts w:ascii="Cambria Math" w:hAnsi="Cambria Math"/>
                      <w:highlight w:val="lightGray"/>
                    </w:rPr>
                  </m:ctrlPr>
                </m:sSubSupPr>
                <m:e>
                  <m:r>
                    <m:rPr>
                      <m:sty m:val="bi"/>
                    </m:rPr>
                    <w:rPr>
                      <w:rFonts w:ascii="Cambria Math" w:hAnsi="Cambria Math"/>
                      <w:highlight w:val="lightGray"/>
                    </w:rPr>
                    <m:t>M</m:t>
                  </m:r>
                </m:e>
                <m:sub>
                  <m:r>
                    <m:rPr>
                      <m:sty m:val="bi"/>
                    </m:rPr>
                    <w:rPr>
                      <w:rFonts w:ascii="Cambria Math" w:hAnsi="Cambria Math"/>
                      <w:highlight w:val="lightGray"/>
                    </w:rPr>
                    <m:t>ijt</m:t>
                  </m:r>
                </m:sub>
                <m:sup>
                  <m:r>
                    <m:rPr>
                      <m:sty m:val="bi"/>
                    </m:rPr>
                    <w:rPr>
                      <w:rFonts w:ascii="Cambria Math" w:hAnsi="Cambria Math"/>
                      <w:highlight w:val="lightGray"/>
                    </w:rPr>
                    <m:t>k</m:t>
                  </m:r>
                </m:sup>
              </m:sSubSup>
            </m:num>
            <m:den>
              <m:sSub>
                <m:sSubPr>
                  <m:ctrlPr>
                    <w:rPr>
                      <w:rFonts w:ascii="Cambria Math" w:hAnsi="Cambria Math"/>
                      <w:highlight w:val="lightGray"/>
                    </w:rPr>
                  </m:ctrlPr>
                </m:sSubPr>
                <m:e>
                  <m:sSubSup>
                    <m:sSubSupPr>
                      <m:ctrlPr>
                        <w:rPr>
                          <w:rFonts w:ascii="Cambria Math" w:hAnsi="Cambria Math"/>
                          <w:highlight w:val="lightGray"/>
                        </w:rPr>
                      </m:ctrlPr>
                    </m:sSubSupPr>
                    <m:e>
                      <m:r>
                        <m:rPr>
                          <m:sty m:val="bi"/>
                        </m:rPr>
                        <w:rPr>
                          <w:rFonts w:ascii="Cambria Math" w:hAnsi="Cambria Math"/>
                          <w:highlight w:val="lightGray"/>
                        </w:rPr>
                        <m:t>X</m:t>
                      </m:r>
                    </m:e>
                    <m:sub>
                      <m:r>
                        <m:rPr>
                          <m:sty m:val="bi"/>
                        </m:rPr>
                        <w:rPr>
                          <w:rFonts w:ascii="Cambria Math" w:hAnsi="Cambria Math"/>
                          <w:highlight w:val="lightGray"/>
                        </w:rPr>
                        <m:t>wt</m:t>
                      </m:r>
                    </m:sub>
                    <m:sup>
                      <m:r>
                        <m:rPr>
                          <m:sty m:val="bi"/>
                        </m:rPr>
                        <w:rPr>
                          <w:rFonts w:ascii="Cambria Math" w:hAnsi="Cambria Math"/>
                          <w:highlight w:val="lightGray"/>
                        </w:rPr>
                        <m:t>k</m:t>
                      </m:r>
                    </m:sup>
                  </m:sSubSup>
                </m:e>
                <m:sub>
                  <m:r>
                    <m:rPr>
                      <m:sty m:val="bi"/>
                    </m:rPr>
                    <w:rPr>
                      <w:rFonts w:ascii="Cambria Math" w:hAnsi="Cambria Math"/>
                      <w:highlight w:val="lightGray"/>
                    </w:rPr>
                    <m:t>i</m:t>
                  </m:r>
                </m:sub>
              </m:sSub>
              <m:r>
                <m:rPr>
                  <m:sty m:val="p"/>
                </m:rPr>
                <w:rPr>
                  <w:rFonts w:ascii="Cambria Math" w:hAnsi="Cambria Math"/>
                  <w:highlight w:val="lightGray"/>
                </w:rPr>
                <m:t>+</m:t>
              </m:r>
              <m:sSub>
                <m:sSubPr>
                  <m:ctrlPr>
                    <w:rPr>
                      <w:rFonts w:ascii="Cambria Math" w:hAnsi="Cambria Math"/>
                      <w:highlight w:val="lightGray"/>
                    </w:rPr>
                  </m:ctrlPr>
                </m:sSubPr>
                <m:e>
                  <m:sSubSup>
                    <m:sSubSupPr>
                      <m:ctrlPr>
                        <w:rPr>
                          <w:rFonts w:ascii="Cambria Math" w:hAnsi="Cambria Math"/>
                          <w:highlight w:val="lightGray"/>
                        </w:rPr>
                      </m:ctrlPr>
                    </m:sSubSupPr>
                    <m:e>
                      <m:r>
                        <m:rPr>
                          <m:sty m:val="bi"/>
                        </m:rPr>
                        <w:rPr>
                          <w:rFonts w:ascii="Cambria Math" w:hAnsi="Cambria Math"/>
                          <w:highlight w:val="lightGray"/>
                        </w:rPr>
                        <m:t>M</m:t>
                      </m:r>
                    </m:e>
                    <m:sub>
                      <m:r>
                        <m:rPr>
                          <m:sty m:val="bi"/>
                        </m:rPr>
                        <w:rPr>
                          <w:rFonts w:ascii="Cambria Math" w:hAnsi="Cambria Math"/>
                          <w:highlight w:val="lightGray"/>
                        </w:rPr>
                        <m:t>wt</m:t>
                      </m:r>
                    </m:sub>
                    <m:sup>
                      <m:r>
                        <m:rPr>
                          <m:sty m:val="bi"/>
                        </m:rPr>
                        <w:rPr>
                          <w:rFonts w:ascii="Cambria Math" w:hAnsi="Cambria Math"/>
                          <w:highlight w:val="lightGray"/>
                        </w:rPr>
                        <m:t>k</m:t>
                      </m:r>
                    </m:sup>
                  </m:sSubSup>
                </m:e>
                <m:sub>
                  <m:r>
                    <m:rPr>
                      <m:sty m:val="bi"/>
                    </m:rPr>
                    <w:rPr>
                      <w:rFonts w:ascii="Cambria Math" w:hAnsi="Cambria Math"/>
                      <w:highlight w:val="lightGray"/>
                    </w:rPr>
                    <m:t>i</m:t>
                  </m:r>
                </m:sub>
              </m:sSub>
            </m:den>
          </m:f>
        </m:oMath>
      </m:oMathPara>
    </w:p>
    <w:p w:rsidR="00653B39" w:rsidRDefault="00653B39" w:rsidP="00653B39">
      <w:pPr>
        <w:rPr>
          <w:sz w:val="18"/>
          <w:szCs w:val="18"/>
        </w:rPr>
      </w:pPr>
    </w:p>
    <w:p w:rsidR="00653B39" w:rsidRPr="00711775" w:rsidRDefault="00650550" w:rsidP="00653B39">
      <w:pPr>
        <w:rPr>
          <w:rFonts w:eastAsiaTheme="minorEastAsia"/>
          <w:sz w:val="20"/>
          <w:szCs w:val="20"/>
        </w:rPr>
      </w:pPr>
      <m:oMath>
        <m:sSubSup>
          <m:sSubSupPr>
            <m:ctrlPr>
              <w:rPr>
                <w:rFonts w:ascii="Cambria Math" w:hAnsi="Cambria Math"/>
              </w:rPr>
            </m:ctrlPr>
          </m:sSubSupPr>
          <m:e>
            <m:r>
              <m:rPr>
                <m:sty m:val="bi"/>
              </m:rPr>
              <w:rPr>
                <w:rFonts w:ascii="Cambria Math" w:hAnsi="Cambria Math"/>
              </w:rPr>
              <m:t>X</m:t>
            </m:r>
          </m:e>
          <m:sub>
            <m:r>
              <m:rPr>
                <m:sty m:val="bi"/>
              </m:rPr>
              <w:rPr>
                <w:rFonts w:ascii="Cambria Math" w:hAnsi="Cambria Math"/>
              </w:rPr>
              <m:t>ijt</m:t>
            </m:r>
          </m:sub>
          <m:sup>
            <m:r>
              <m:rPr>
                <m:sty m:val="bi"/>
              </m:rPr>
              <w:rPr>
                <w:rFonts w:ascii="Cambria Math" w:hAnsi="Cambria Math"/>
              </w:rPr>
              <m:t>k</m:t>
            </m:r>
          </m:sup>
        </m:sSubSup>
      </m:oMath>
      <w:r w:rsidR="00653B39">
        <w:rPr>
          <w:rFonts w:eastAsiaTheme="minorEastAsia"/>
        </w:rPr>
        <w:t xml:space="preserve"> = </w:t>
      </w:r>
      <w:r w:rsidR="00653B39" w:rsidRPr="00711775">
        <w:rPr>
          <w:rFonts w:eastAsiaTheme="minorEastAsia"/>
          <w:sz w:val="20"/>
          <w:szCs w:val="20"/>
        </w:rPr>
        <w:t xml:space="preserve">Exportaciones del </w:t>
      </w:r>
      <w:r w:rsidR="00653B39">
        <w:rPr>
          <w:rFonts w:eastAsiaTheme="minorEastAsia"/>
          <w:sz w:val="20"/>
          <w:szCs w:val="20"/>
        </w:rPr>
        <w:t>capítulo</w:t>
      </w:r>
      <w:r w:rsidR="00653B39" w:rsidRPr="00711775">
        <w:rPr>
          <w:rFonts w:eastAsiaTheme="minorEastAsia"/>
          <w:sz w:val="20"/>
          <w:szCs w:val="20"/>
        </w:rPr>
        <w:t xml:space="preserve"> k realizadas por la región i al mercado j en al año t.</w:t>
      </w:r>
    </w:p>
    <w:p w:rsidR="00653B39" w:rsidRDefault="00653B39" w:rsidP="00653B39">
      <w:pPr>
        <w:rPr>
          <w:rFonts w:eastAsiaTheme="minorEastAsia"/>
        </w:rPr>
      </w:pPr>
    </w:p>
    <w:p w:rsidR="00653B39" w:rsidRPr="00711775" w:rsidRDefault="00650550" w:rsidP="00653B39">
      <w:pPr>
        <w:rPr>
          <w:rFonts w:eastAsiaTheme="minorEastAsia"/>
          <w:sz w:val="20"/>
          <w:szCs w:val="20"/>
        </w:rPr>
      </w:pPr>
      <m:oMath>
        <m:sSubSup>
          <m:sSubSupPr>
            <m:ctrlPr>
              <w:rPr>
                <w:rFonts w:ascii="Cambria Math" w:hAnsi="Cambria Math"/>
              </w:rPr>
            </m:ctrlPr>
          </m:sSubSupPr>
          <m:e>
            <m:r>
              <m:rPr>
                <m:sty m:val="bi"/>
              </m:rPr>
              <w:rPr>
                <w:rFonts w:ascii="Cambria Math" w:hAnsi="Cambria Math"/>
              </w:rPr>
              <m:t>M</m:t>
            </m:r>
          </m:e>
          <m:sub>
            <m:r>
              <m:rPr>
                <m:sty m:val="bi"/>
              </m:rPr>
              <w:rPr>
                <w:rFonts w:ascii="Cambria Math" w:hAnsi="Cambria Math"/>
              </w:rPr>
              <m:t>ijt</m:t>
            </m:r>
          </m:sub>
          <m:sup>
            <m:r>
              <m:rPr>
                <m:sty m:val="bi"/>
              </m:rPr>
              <w:rPr>
                <w:rFonts w:ascii="Cambria Math" w:hAnsi="Cambria Math"/>
              </w:rPr>
              <m:t>k</m:t>
            </m:r>
          </m:sup>
        </m:sSubSup>
      </m:oMath>
      <w:r w:rsidR="00653B39">
        <w:rPr>
          <w:rFonts w:eastAsiaTheme="minorEastAsia"/>
        </w:rPr>
        <w:t xml:space="preserve"> = </w:t>
      </w:r>
      <w:r w:rsidR="00653B39" w:rsidRPr="00711775">
        <w:rPr>
          <w:rFonts w:eastAsiaTheme="minorEastAsia"/>
          <w:sz w:val="20"/>
          <w:szCs w:val="20"/>
        </w:rPr>
        <w:t xml:space="preserve">Importaciones del </w:t>
      </w:r>
      <w:r w:rsidR="00653B39">
        <w:rPr>
          <w:rFonts w:eastAsiaTheme="minorEastAsia"/>
          <w:sz w:val="20"/>
          <w:szCs w:val="20"/>
        </w:rPr>
        <w:t>capítulo</w:t>
      </w:r>
      <w:r w:rsidR="00653B39" w:rsidRPr="00711775">
        <w:rPr>
          <w:rFonts w:eastAsiaTheme="minorEastAsia"/>
          <w:sz w:val="20"/>
          <w:szCs w:val="20"/>
        </w:rPr>
        <w:t xml:space="preserve"> k realizadas por la región i desde el mercado j en el año t</w:t>
      </w:r>
    </w:p>
    <w:p w:rsidR="00653B39" w:rsidRPr="00547676" w:rsidRDefault="00653B39" w:rsidP="00653B39">
      <w:pPr>
        <w:rPr>
          <w:sz w:val="18"/>
          <w:szCs w:val="18"/>
        </w:rPr>
      </w:pPr>
    </w:p>
    <w:p w:rsidR="00653B39" w:rsidRPr="00AC28A6" w:rsidRDefault="00650550" w:rsidP="00653B39">
      <w:pPr>
        <w:rPr>
          <w:rFonts w:eastAsiaTheme="minorEastAsia"/>
          <w:sz w:val="20"/>
          <w:szCs w:val="20"/>
        </w:rPr>
      </w:pPr>
      <m:oMath>
        <m:sSub>
          <m:sSubPr>
            <m:ctrlPr>
              <w:rPr>
                <w:rFonts w:ascii="Cambria Math" w:hAnsi="Cambria Math"/>
                <w:highlight w:val="lightGray"/>
              </w:rPr>
            </m:ctrlPr>
          </m:sSubPr>
          <m:e>
            <m:sSubSup>
              <m:sSubSupPr>
                <m:ctrlPr>
                  <w:rPr>
                    <w:rFonts w:ascii="Cambria Math" w:hAnsi="Cambria Math"/>
                    <w:highlight w:val="lightGray"/>
                  </w:rPr>
                </m:ctrlPr>
              </m:sSubSupPr>
              <m:e>
                <m:r>
                  <m:rPr>
                    <m:sty m:val="bi"/>
                  </m:rPr>
                  <w:rPr>
                    <w:rFonts w:ascii="Cambria Math" w:hAnsi="Cambria Math"/>
                    <w:highlight w:val="lightGray"/>
                  </w:rPr>
                  <m:t>X</m:t>
                </m:r>
              </m:e>
              <m:sub>
                <m:r>
                  <m:rPr>
                    <m:sty m:val="bi"/>
                  </m:rPr>
                  <w:rPr>
                    <w:rFonts w:ascii="Cambria Math" w:hAnsi="Cambria Math"/>
                    <w:highlight w:val="lightGray"/>
                  </w:rPr>
                  <m:t>wt</m:t>
                </m:r>
              </m:sub>
              <m:sup>
                <m:r>
                  <m:rPr>
                    <m:sty m:val="bi"/>
                  </m:rPr>
                  <w:rPr>
                    <w:rFonts w:ascii="Cambria Math" w:hAnsi="Cambria Math"/>
                    <w:highlight w:val="lightGray"/>
                  </w:rPr>
                  <m:t>k</m:t>
                </m:r>
              </m:sup>
            </m:sSubSup>
          </m:e>
          <m:sub>
            <m:r>
              <m:rPr>
                <m:sty m:val="bi"/>
              </m:rPr>
              <w:rPr>
                <w:rFonts w:ascii="Cambria Math" w:hAnsi="Cambria Math"/>
                <w:highlight w:val="lightGray"/>
              </w:rPr>
              <m:t>i</m:t>
            </m:r>
          </m:sub>
        </m:sSub>
      </m:oMath>
      <w:r w:rsidR="00653B39">
        <w:rPr>
          <w:rFonts w:eastAsiaTheme="minorEastAsia"/>
        </w:rPr>
        <w:t xml:space="preserve"> = </w:t>
      </w:r>
      <w:r w:rsidR="00653B39" w:rsidRPr="00AC28A6">
        <w:rPr>
          <w:rFonts w:eastAsiaTheme="minorEastAsia"/>
          <w:sz w:val="20"/>
          <w:szCs w:val="20"/>
        </w:rPr>
        <w:t xml:space="preserve">Exportaciones del </w:t>
      </w:r>
      <w:r w:rsidR="00653B39">
        <w:rPr>
          <w:rFonts w:eastAsiaTheme="minorEastAsia"/>
          <w:sz w:val="20"/>
          <w:szCs w:val="20"/>
        </w:rPr>
        <w:t>capítulo</w:t>
      </w:r>
      <w:r w:rsidR="00653B39" w:rsidRPr="00AC28A6">
        <w:rPr>
          <w:rFonts w:eastAsiaTheme="minorEastAsia"/>
          <w:sz w:val="20"/>
          <w:szCs w:val="20"/>
        </w:rPr>
        <w:t xml:space="preserve"> k realizadas por la región i al mundo (w)</w:t>
      </w:r>
    </w:p>
    <w:p w:rsidR="00653B39" w:rsidRDefault="00653B39" w:rsidP="00653B39">
      <w:pPr>
        <w:rPr>
          <w:rFonts w:eastAsiaTheme="minorEastAsia"/>
        </w:rPr>
      </w:pPr>
    </w:p>
    <w:p w:rsidR="00653B39" w:rsidRDefault="00650550" w:rsidP="00653B39">
      <w:pPr>
        <w:rPr>
          <w:rFonts w:eastAsiaTheme="minorEastAsia"/>
          <w:sz w:val="20"/>
          <w:szCs w:val="20"/>
        </w:rPr>
      </w:pPr>
      <m:oMath>
        <m:sSub>
          <m:sSubPr>
            <m:ctrlPr>
              <w:rPr>
                <w:rFonts w:ascii="Cambria Math" w:hAnsi="Cambria Math"/>
                <w:highlight w:val="lightGray"/>
              </w:rPr>
            </m:ctrlPr>
          </m:sSubPr>
          <m:e>
            <m:sSubSup>
              <m:sSubSupPr>
                <m:ctrlPr>
                  <w:rPr>
                    <w:rFonts w:ascii="Cambria Math" w:hAnsi="Cambria Math"/>
                    <w:highlight w:val="lightGray"/>
                  </w:rPr>
                </m:ctrlPr>
              </m:sSubSupPr>
              <m:e>
                <m:r>
                  <m:rPr>
                    <m:sty m:val="bi"/>
                  </m:rPr>
                  <w:rPr>
                    <w:rFonts w:ascii="Cambria Math" w:hAnsi="Cambria Math"/>
                    <w:highlight w:val="lightGray"/>
                  </w:rPr>
                  <m:t>M</m:t>
                </m:r>
              </m:e>
              <m:sub>
                <m:r>
                  <m:rPr>
                    <m:sty m:val="bi"/>
                  </m:rPr>
                  <w:rPr>
                    <w:rFonts w:ascii="Cambria Math" w:hAnsi="Cambria Math"/>
                    <w:highlight w:val="lightGray"/>
                  </w:rPr>
                  <m:t>wt</m:t>
                </m:r>
              </m:sub>
              <m:sup>
                <m:r>
                  <m:rPr>
                    <m:sty m:val="bi"/>
                  </m:rPr>
                  <w:rPr>
                    <w:rFonts w:ascii="Cambria Math" w:hAnsi="Cambria Math"/>
                    <w:highlight w:val="lightGray"/>
                  </w:rPr>
                  <m:t>k</m:t>
                </m:r>
              </m:sup>
            </m:sSubSup>
          </m:e>
          <m:sub>
            <m:r>
              <m:rPr>
                <m:sty m:val="bi"/>
              </m:rPr>
              <w:rPr>
                <w:rFonts w:ascii="Cambria Math" w:hAnsi="Cambria Math"/>
                <w:highlight w:val="lightGray"/>
              </w:rPr>
              <m:t>i</m:t>
            </m:r>
          </m:sub>
        </m:sSub>
      </m:oMath>
      <w:r w:rsidR="00653B39">
        <w:rPr>
          <w:rFonts w:eastAsiaTheme="minorEastAsia"/>
        </w:rPr>
        <w:t xml:space="preserve"> = </w:t>
      </w:r>
      <w:r w:rsidR="00653B39" w:rsidRPr="00AC28A6">
        <w:rPr>
          <w:rFonts w:eastAsiaTheme="minorEastAsia"/>
          <w:sz w:val="20"/>
          <w:szCs w:val="20"/>
        </w:rPr>
        <w:t xml:space="preserve">Importaciones del </w:t>
      </w:r>
      <w:r w:rsidR="00653B39">
        <w:rPr>
          <w:rFonts w:eastAsiaTheme="minorEastAsia"/>
          <w:sz w:val="20"/>
          <w:szCs w:val="20"/>
        </w:rPr>
        <w:t>capítulo</w:t>
      </w:r>
      <w:r w:rsidR="00653B39" w:rsidRPr="00AC28A6">
        <w:rPr>
          <w:rFonts w:eastAsiaTheme="minorEastAsia"/>
          <w:sz w:val="20"/>
          <w:szCs w:val="20"/>
        </w:rPr>
        <w:t xml:space="preserve"> k realizadas por la región i de todo el mundo (w)</w:t>
      </w:r>
    </w:p>
    <w:p w:rsidR="00653B39" w:rsidRDefault="00653B39" w:rsidP="00653B39">
      <w:pPr>
        <w:rPr>
          <w:rFonts w:eastAsiaTheme="minorEastAsia"/>
          <w:sz w:val="20"/>
          <w:szCs w:val="20"/>
        </w:rPr>
      </w:pPr>
    </w:p>
    <w:p w:rsidR="00653B39" w:rsidRDefault="00653B39" w:rsidP="0096159F">
      <w:r>
        <w:lastRenderedPageBreak/>
        <w:t>En el caso específico, se hace el cálculo del Indice de Ventaja Comparativa Revelada de los capítulos representativos de las exportaciones de Santander con respecto al mercado de Estados Unidos, para ello se hacen las siguientes adaptaciones:</w:t>
      </w:r>
    </w:p>
    <w:p w:rsidR="00653B39" w:rsidRDefault="00653B39" w:rsidP="00653B39"/>
    <w:p w:rsidR="00653B39" w:rsidRPr="00711775" w:rsidRDefault="00650550" w:rsidP="00653B39">
      <w:pPr>
        <w:rPr>
          <w:rFonts w:eastAsiaTheme="minorEastAsia"/>
          <w:sz w:val="20"/>
          <w:szCs w:val="20"/>
        </w:rPr>
      </w:pPr>
      <m:oMath>
        <m:sSubSup>
          <m:sSubSupPr>
            <m:ctrlPr>
              <w:rPr>
                <w:rFonts w:ascii="Cambria Math" w:hAnsi="Cambria Math"/>
              </w:rPr>
            </m:ctrlPr>
          </m:sSubSupPr>
          <m:e>
            <m:r>
              <m:rPr>
                <m:sty m:val="bi"/>
              </m:rPr>
              <w:rPr>
                <w:rFonts w:ascii="Cambria Math" w:hAnsi="Cambria Math"/>
              </w:rPr>
              <m:t>X</m:t>
            </m:r>
          </m:e>
          <m:sub>
            <m:r>
              <m:rPr>
                <m:sty m:val="bi"/>
              </m:rPr>
              <w:rPr>
                <w:rFonts w:ascii="Cambria Math" w:hAnsi="Cambria Math"/>
              </w:rPr>
              <m:t>ijt</m:t>
            </m:r>
          </m:sub>
          <m:sup>
            <m:r>
              <m:rPr>
                <m:sty m:val="bi"/>
              </m:rPr>
              <w:rPr>
                <w:rFonts w:ascii="Cambria Math" w:hAnsi="Cambria Math"/>
              </w:rPr>
              <m:t>k</m:t>
            </m:r>
          </m:sup>
        </m:sSubSup>
      </m:oMath>
      <w:r w:rsidR="00653B39">
        <w:rPr>
          <w:rFonts w:eastAsiaTheme="minorEastAsia"/>
        </w:rPr>
        <w:t xml:space="preserve"> = </w:t>
      </w:r>
      <w:r w:rsidR="00653B39" w:rsidRPr="00711775">
        <w:rPr>
          <w:rFonts w:eastAsiaTheme="minorEastAsia"/>
          <w:sz w:val="20"/>
          <w:szCs w:val="20"/>
        </w:rPr>
        <w:t xml:space="preserve">Exportaciones del </w:t>
      </w:r>
      <w:r w:rsidR="00653B39">
        <w:rPr>
          <w:rFonts w:eastAsiaTheme="minorEastAsia"/>
          <w:sz w:val="20"/>
          <w:szCs w:val="20"/>
        </w:rPr>
        <w:t>capítulo</w:t>
      </w:r>
      <w:r w:rsidR="00653B39" w:rsidRPr="00711775">
        <w:rPr>
          <w:rFonts w:eastAsiaTheme="minorEastAsia"/>
          <w:sz w:val="20"/>
          <w:szCs w:val="20"/>
        </w:rPr>
        <w:t xml:space="preserve"> k realizadas por </w:t>
      </w:r>
      <w:r w:rsidR="00653B39">
        <w:rPr>
          <w:rFonts w:eastAsiaTheme="minorEastAsia"/>
          <w:sz w:val="20"/>
          <w:szCs w:val="20"/>
        </w:rPr>
        <w:t xml:space="preserve">Santander </w:t>
      </w:r>
      <w:r w:rsidR="00653B39" w:rsidRPr="00711775">
        <w:rPr>
          <w:rFonts w:eastAsiaTheme="minorEastAsia"/>
          <w:sz w:val="20"/>
          <w:szCs w:val="20"/>
        </w:rPr>
        <w:t xml:space="preserve"> </w:t>
      </w:r>
      <w:r w:rsidR="00653B39">
        <w:rPr>
          <w:rFonts w:eastAsiaTheme="minorEastAsia"/>
          <w:sz w:val="20"/>
          <w:szCs w:val="20"/>
        </w:rPr>
        <w:t>al mercado de Estados Unidos.</w:t>
      </w:r>
    </w:p>
    <w:p w:rsidR="00653B39" w:rsidRDefault="00653B39" w:rsidP="00653B39">
      <w:pPr>
        <w:rPr>
          <w:rFonts w:eastAsiaTheme="minorEastAsia"/>
        </w:rPr>
      </w:pPr>
    </w:p>
    <w:p w:rsidR="00653B39" w:rsidRPr="00711775" w:rsidRDefault="00650550" w:rsidP="00653B39">
      <w:pPr>
        <w:rPr>
          <w:rFonts w:eastAsiaTheme="minorEastAsia"/>
          <w:sz w:val="20"/>
          <w:szCs w:val="20"/>
        </w:rPr>
      </w:pPr>
      <m:oMath>
        <m:sSubSup>
          <m:sSubSupPr>
            <m:ctrlPr>
              <w:rPr>
                <w:rFonts w:ascii="Cambria Math" w:hAnsi="Cambria Math"/>
              </w:rPr>
            </m:ctrlPr>
          </m:sSubSupPr>
          <m:e>
            <m:r>
              <m:rPr>
                <m:sty m:val="bi"/>
              </m:rPr>
              <w:rPr>
                <w:rFonts w:ascii="Cambria Math" w:hAnsi="Cambria Math"/>
              </w:rPr>
              <m:t>M</m:t>
            </m:r>
          </m:e>
          <m:sub>
            <m:r>
              <m:rPr>
                <m:sty m:val="bi"/>
              </m:rPr>
              <w:rPr>
                <w:rFonts w:ascii="Cambria Math" w:hAnsi="Cambria Math"/>
              </w:rPr>
              <m:t>ijt</m:t>
            </m:r>
          </m:sub>
          <m:sup>
            <m:r>
              <m:rPr>
                <m:sty m:val="bi"/>
              </m:rPr>
              <w:rPr>
                <w:rFonts w:ascii="Cambria Math" w:hAnsi="Cambria Math"/>
              </w:rPr>
              <m:t>k</m:t>
            </m:r>
          </m:sup>
        </m:sSubSup>
      </m:oMath>
      <w:r w:rsidR="00653B39">
        <w:rPr>
          <w:rFonts w:eastAsiaTheme="minorEastAsia"/>
        </w:rPr>
        <w:t xml:space="preserve"> = </w:t>
      </w:r>
      <w:r w:rsidR="00653B39" w:rsidRPr="00711775">
        <w:rPr>
          <w:rFonts w:eastAsiaTheme="minorEastAsia"/>
          <w:sz w:val="20"/>
          <w:szCs w:val="20"/>
        </w:rPr>
        <w:t xml:space="preserve">Importaciones del </w:t>
      </w:r>
      <w:r w:rsidR="00653B39">
        <w:rPr>
          <w:rFonts w:eastAsiaTheme="minorEastAsia"/>
          <w:sz w:val="20"/>
          <w:szCs w:val="20"/>
        </w:rPr>
        <w:t>capítulo</w:t>
      </w:r>
      <w:r w:rsidR="00653B39" w:rsidRPr="00711775">
        <w:rPr>
          <w:rFonts w:eastAsiaTheme="minorEastAsia"/>
          <w:sz w:val="20"/>
          <w:szCs w:val="20"/>
        </w:rPr>
        <w:t xml:space="preserve"> k realizadas por </w:t>
      </w:r>
      <w:r w:rsidR="00653B39">
        <w:rPr>
          <w:rFonts w:eastAsiaTheme="minorEastAsia"/>
          <w:sz w:val="20"/>
          <w:szCs w:val="20"/>
        </w:rPr>
        <w:t xml:space="preserve">Santander </w:t>
      </w:r>
      <w:r w:rsidR="00653B39" w:rsidRPr="00711775">
        <w:rPr>
          <w:rFonts w:eastAsiaTheme="minorEastAsia"/>
          <w:sz w:val="20"/>
          <w:szCs w:val="20"/>
        </w:rPr>
        <w:t xml:space="preserve">desde </w:t>
      </w:r>
      <w:r w:rsidR="00653B39">
        <w:rPr>
          <w:rFonts w:eastAsiaTheme="minorEastAsia"/>
          <w:sz w:val="20"/>
          <w:szCs w:val="20"/>
        </w:rPr>
        <w:t>Estados Unidos</w:t>
      </w:r>
    </w:p>
    <w:p w:rsidR="00653B39" w:rsidRPr="00547676" w:rsidRDefault="00653B39" w:rsidP="00653B39">
      <w:pPr>
        <w:rPr>
          <w:sz w:val="18"/>
          <w:szCs w:val="18"/>
        </w:rPr>
      </w:pPr>
    </w:p>
    <w:p w:rsidR="00653B39" w:rsidRPr="00AC28A6" w:rsidRDefault="00650550" w:rsidP="00653B39">
      <w:pPr>
        <w:rPr>
          <w:rFonts w:eastAsiaTheme="minorEastAsia"/>
          <w:sz w:val="20"/>
          <w:szCs w:val="20"/>
        </w:rPr>
      </w:pPr>
      <m:oMath>
        <m:sSub>
          <m:sSubPr>
            <m:ctrlPr>
              <w:rPr>
                <w:rFonts w:ascii="Cambria Math" w:hAnsi="Cambria Math"/>
                <w:highlight w:val="lightGray"/>
              </w:rPr>
            </m:ctrlPr>
          </m:sSubPr>
          <m:e>
            <m:sSubSup>
              <m:sSubSupPr>
                <m:ctrlPr>
                  <w:rPr>
                    <w:rFonts w:ascii="Cambria Math" w:hAnsi="Cambria Math"/>
                    <w:highlight w:val="lightGray"/>
                  </w:rPr>
                </m:ctrlPr>
              </m:sSubSupPr>
              <m:e>
                <m:r>
                  <m:rPr>
                    <m:sty m:val="bi"/>
                  </m:rPr>
                  <w:rPr>
                    <w:rFonts w:ascii="Cambria Math" w:hAnsi="Cambria Math"/>
                    <w:highlight w:val="lightGray"/>
                  </w:rPr>
                  <m:t>X</m:t>
                </m:r>
              </m:e>
              <m:sub>
                <m:r>
                  <m:rPr>
                    <m:sty m:val="bi"/>
                  </m:rPr>
                  <w:rPr>
                    <w:rFonts w:ascii="Cambria Math" w:hAnsi="Cambria Math"/>
                    <w:highlight w:val="lightGray"/>
                  </w:rPr>
                  <m:t>wt</m:t>
                </m:r>
              </m:sub>
              <m:sup>
                <m:r>
                  <m:rPr>
                    <m:sty m:val="bi"/>
                  </m:rPr>
                  <w:rPr>
                    <w:rFonts w:ascii="Cambria Math" w:hAnsi="Cambria Math"/>
                    <w:highlight w:val="lightGray"/>
                  </w:rPr>
                  <m:t>k</m:t>
                </m:r>
              </m:sup>
            </m:sSubSup>
          </m:e>
          <m:sub>
            <m:r>
              <m:rPr>
                <m:sty m:val="bi"/>
              </m:rPr>
              <w:rPr>
                <w:rFonts w:ascii="Cambria Math" w:hAnsi="Cambria Math"/>
                <w:highlight w:val="lightGray"/>
              </w:rPr>
              <m:t>i</m:t>
            </m:r>
          </m:sub>
        </m:sSub>
      </m:oMath>
      <w:r w:rsidR="00653B39">
        <w:rPr>
          <w:rFonts w:eastAsiaTheme="minorEastAsia"/>
        </w:rPr>
        <w:t xml:space="preserve"> = </w:t>
      </w:r>
      <w:r w:rsidR="00653B39" w:rsidRPr="00AC28A6">
        <w:rPr>
          <w:rFonts w:eastAsiaTheme="minorEastAsia"/>
          <w:sz w:val="20"/>
          <w:szCs w:val="20"/>
        </w:rPr>
        <w:t>Exportaciones</w:t>
      </w:r>
      <w:r w:rsidR="00653B39">
        <w:rPr>
          <w:rFonts w:eastAsiaTheme="minorEastAsia"/>
          <w:sz w:val="20"/>
          <w:szCs w:val="20"/>
        </w:rPr>
        <w:t xml:space="preserve"> totales</w:t>
      </w:r>
      <w:r w:rsidR="00653B39" w:rsidRPr="00AC28A6">
        <w:rPr>
          <w:rFonts w:eastAsiaTheme="minorEastAsia"/>
          <w:sz w:val="20"/>
          <w:szCs w:val="20"/>
        </w:rPr>
        <w:t xml:space="preserve"> del </w:t>
      </w:r>
      <w:r w:rsidR="00653B39">
        <w:rPr>
          <w:rFonts w:eastAsiaTheme="minorEastAsia"/>
          <w:sz w:val="20"/>
          <w:szCs w:val="20"/>
        </w:rPr>
        <w:t>capítulo</w:t>
      </w:r>
      <w:r w:rsidR="00653B39" w:rsidRPr="00AC28A6">
        <w:rPr>
          <w:rFonts w:eastAsiaTheme="minorEastAsia"/>
          <w:sz w:val="20"/>
          <w:szCs w:val="20"/>
        </w:rPr>
        <w:t xml:space="preserve"> </w:t>
      </w:r>
      <w:r w:rsidR="00653B39">
        <w:rPr>
          <w:rFonts w:eastAsiaTheme="minorEastAsia"/>
          <w:sz w:val="20"/>
          <w:szCs w:val="20"/>
        </w:rPr>
        <w:t xml:space="preserve">k realizadas por Santander </w:t>
      </w:r>
      <w:r w:rsidR="00653B39" w:rsidRPr="00AC28A6">
        <w:rPr>
          <w:rFonts w:eastAsiaTheme="minorEastAsia"/>
          <w:sz w:val="20"/>
          <w:szCs w:val="20"/>
        </w:rPr>
        <w:t>al mundo (w)</w:t>
      </w:r>
    </w:p>
    <w:p w:rsidR="00653B39" w:rsidRDefault="00653B39" w:rsidP="00653B39">
      <w:pPr>
        <w:rPr>
          <w:rFonts w:eastAsiaTheme="minorEastAsia"/>
        </w:rPr>
      </w:pPr>
    </w:p>
    <w:p w:rsidR="00653B39" w:rsidRDefault="00650550" w:rsidP="00653B39">
      <w:pPr>
        <w:rPr>
          <w:rFonts w:eastAsiaTheme="minorEastAsia"/>
          <w:sz w:val="20"/>
          <w:szCs w:val="20"/>
        </w:rPr>
      </w:pPr>
      <m:oMath>
        <m:sSub>
          <m:sSubPr>
            <m:ctrlPr>
              <w:rPr>
                <w:rFonts w:ascii="Cambria Math" w:hAnsi="Cambria Math"/>
                <w:highlight w:val="lightGray"/>
              </w:rPr>
            </m:ctrlPr>
          </m:sSubPr>
          <m:e>
            <m:sSubSup>
              <m:sSubSupPr>
                <m:ctrlPr>
                  <w:rPr>
                    <w:rFonts w:ascii="Cambria Math" w:hAnsi="Cambria Math"/>
                    <w:highlight w:val="lightGray"/>
                  </w:rPr>
                </m:ctrlPr>
              </m:sSubSupPr>
              <m:e>
                <m:r>
                  <m:rPr>
                    <m:sty m:val="bi"/>
                  </m:rPr>
                  <w:rPr>
                    <w:rFonts w:ascii="Cambria Math" w:hAnsi="Cambria Math"/>
                    <w:highlight w:val="lightGray"/>
                  </w:rPr>
                  <m:t>M</m:t>
                </m:r>
              </m:e>
              <m:sub>
                <m:r>
                  <m:rPr>
                    <m:sty m:val="bi"/>
                  </m:rPr>
                  <w:rPr>
                    <w:rFonts w:ascii="Cambria Math" w:hAnsi="Cambria Math"/>
                    <w:highlight w:val="lightGray"/>
                  </w:rPr>
                  <m:t>wt</m:t>
                </m:r>
              </m:sub>
              <m:sup>
                <m:r>
                  <m:rPr>
                    <m:sty m:val="bi"/>
                  </m:rPr>
                  <w:rPr>
                    <w:rFonts w:ascii="Cambria Math" w:hAnsi="Cambria Math"/>
                    <w:highlight w:val="lightGray"/>
                  </w:rPr>
                  <m:t>k</m:t>
                </m:r>
              </m:sup>
            </m:sSubSup>
          </m:e>
          <m:sub>
            <m:r>
              <m:rPr>
                <m:sty m:val="bi"/>
              </m:rPr>
              <w:rPr>
                <w:rFonts w:ascii="Cambria Math" w:hAnsi="Cambria Math"/>
                <w:highlight w:val="lightGray"/>
              </w:rPr>
              <m:t>i</m:t>
            </m:r>
          </m:sub>
        </m:sSub>
      </m:oMath>
      <w:r w:rsidR="00653B39">
        <w:rPr>
          <w:rFonts w:eastAsiaTheme="minorEastAsia"/>
        </w:rPr>
        <w:t xml:space="preserve"> = </w:t>
      </w:r>
      <w:r w:rsidR="00653B39" w:rsidRPr="00AC28A6">
        <w:rPr>
          <w:rFonts w:eastAsiaTheme="minorEastAsia"/>
          <w:sz w:val="20"/>
          <w:szCs w:val="20"/>
        </w:rPr>
        <w:t xml:space="preserve">Importaciones </w:t>
      </w:r>
      <w:r w:rsidR="00653B39">
        <w:rPr>
          <w:rFonts w:eastAsiaTheme="minorEastAsia"/>
          <w:sz w:val="20"/>
          <w:szCs w:val="20"/>
        </w:rPr>
        <w:t xml:space="preserve">totales </w:t>
      </w:r>
      <w:r w:rsidR="00653B39" w:rsidRPr="00AC28A6">
        <w:rPr>
          <w:rFonts w:eastAsiaTheme="minorEastAsia"/>
          <w:sz w:val="20"/>
          <w:szCs w:val="20"/>
        </w:rPr>
        <w:t xml:space="preserve">del </w:t>
      </w:r>
      <w:r w:rsidR="00653B39">
        <w:rPr>
          <w:rFonts w:eastAsiaTheme="minorEastAsia"/>
          <w:sz w:val="20"/>
          <w:szCs w:val="20"/>
        </w:rPr>
        <w:t>capítulo</w:t>
      </w:r>
      <w:r w:rsidR="00653B39" w:rsidRPr="00AC28A6">
        <w:rPr>
          <w:rFonts w:eastAsiaTheme="minorEastAsia"/>
          <w:sz w:val="20"/>
          <w:szCs w:val="20"/>
        </w:rPr>
        <w:t xml:space="preserve"> k realizadas por </w:t>
      </w:r>
      <w:r w:rsidR="00653B39">
        <w:rPr>
          <w:rFonts w:eastAsiaTheme="minorEastAsia"/>
          <w:sz w:val="20"/>
          <w:szCs w:val="20"/>
        </w:rPr>
        <w:t>Santander</w:t>
      </w:r>
      <w:r w:rsidR="00653B39" w:rsidRPr="00AC28A6">
        <w:rPr>
          <w:rFonts w:eastAsiaTheme="minorEastAsia"/>
          <w:sz w:val="20"/>
          <w:szCs w:val="20"/>
        </w:rPr>
        <w:t xml:space="preserve"> de todo el mundo (w)</w:t>
      </w:r>
    </w:p>
    <w:p w:rsidR="00653B39" w:rsidRDefault="00653B39" w:rsidP="00653B39"/>
    <w:p w:rsidR="00653B39" w:rsidRDefault="00653B39" w:rsidP="0096159F">
      <w:r>
        <w:t>El indicador puede tomar valores positivos o negativos (provenientes del numerador).  Un valor positivo expresa una ventaja en los intercambios comerciales derivado del superávit en la balanza comercial sectorial y un valor negativo muestra una desventaja en los intercambios comerciales proveniente de un déficit en la balanza comercial sectorial.   Entre mayor sea el valor positivo, es un indicativo de un sector con potencial competitivo; entre mayor será el valor negativo, indica la carencia de competitividad del sector en el mercado externo.</w:t>
      </w:r>
    </w:p>
    <w:p w:rsidR="00653B39" w:rsidRDefault="00653B39" w:rsidP="00653B39"/>
    <w:p w:rsidR="00653B39" w:rsidRPr="003B1960" w:rsidRDefault="0096159F" w:rsidP="0096159F">
      <w:pPr>
        <w:rPr>
          <w:rFonts w:eastAsia="Times New Roman"/>
          <w:color w:val="000000"/>
          <w:lang w:eastAsia="es-CO"/>
        </w:rPr>
      </w:pPr>
      <w:r>
        <w:t>Tabla 7.</w:t>
      </w:r>
      <w:r w:rsidR="00653B39">
        <w:t xml:space="preserve"> </w:t>
      </w:r>
      <w:r w:rsidR="00653B39" w:rsidRPr="003B1960">
        <w:rPr>
          <w:rFonts w:eastAsia="Times New Roman"/>
          <w:color w:val="000000"/>
          <w:lang w:eastAsia="es-CO"/>
        </w:rPr>
        <w:t xml:space="preserve">Indice de ventaja comparativa revelada de sectores de </w:t>
      </w:r>
      <w:r w:rsidR="00653B39">
        <w:rPr>
          <w:rFonts w:eastAsia="Times New Roman"/>
          <w:color w:val="000000"/>
          <w:lang w:eastAsia="es-CO"/>
        </w:rPr>
        <w:t>S</w:t>
      </w:r>
      <w:r w:rsidR="00653B39" w:rsidRPr="003B1960">
        <w:rPr>
          <w:rFonts w:eastAsia="Times New Roman"/>
          <w:color w:val="000000"/>
          <w:lang w:eastAsia="es-CO"/>
        </w:rPr>
        <w:t xml:space="preserve">antander en el mercado de Estados Unidos </w:t>
      </w:r>
      <m:oMath>
        <m:sSubSup>
          <m:sSubSupPr>
            <m:ctrlPr>
              <w:rPr>
                <w:rFonts w:ascii="Cambria Math" w:hAnsi="Cambria Math"/>
                <w:highlight w:val="lightGray"/>
              </w:rPr>
            </m:ctrlPr>
          </m:sSubSupPr>
          <m:e>
            <m:r>
              <m:rPr>
                <m:sty m:val="bi"/>
              </m:rPr>
              <w:rPr>
                <w:rFonts w:ascii="Cambria Math" w:hAnsi="Cambria Math"/>
                <w:highlight w:val="lightGray"/>
              </w:rPr>
              <m:t>IVCR</m:t>
            </m:r>
          </m:e>
          <m:sub>
            <m:r>
              <m:rPr>
                <m:sty m:val="bi"/>
              </m:rPr>
              <w:rPr>
                <w:rFonts w:ascii="Cambria Math" w:hAnsi="Cambria Math"/>
                <w:highlight w:val="lightGray"/>
              </w:rPr>
              <m:t>it</m:t>
            </m:r>
          </m:sub>
          <m:sup>
            <m:r>
              <m:rPr>
                <m:sty m:val="bi"/>
              </m:rPr>
              <w:rPr>
                <w:rFonts w:ascii="Cambria Math" w:hAnsi="Cambria Math"/>
                <w:highlight w:val="lightGray"/>
              </w:rPr>
              <m:t>k</m:t>
            </m:r>
          </m:sup>
        </m:sSubSup>
      </m:oMath>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20"/>
        <w:gridCol w:w="746"/>
        <w:gridCol w:w="779"/>
        <w:gridCol w:w="779"/>
        <w:gridCol w:w="779"/>
        <w:gridCol w:w="903"/>
        <w:gridCol w:w="709"/>
        <w:gridCol w:w="3663"/>
      </w:tblGrid>
      <w:tr w:rsidR="00653B39" w:rsidRPr="000712E5" w:rsidTr="00653B39">
        <w:trPr>
          <w:trHeight w:val="855"/>
        </w:trPr>
        <w:tc>
          <w:tcPr>
            <w:tcW w:w="345" w:type="pct"/>
            <w:shd w:val="clear" w:color="auto" w:fill="auto"/>
            <w:noWrap/>
            <w:vAlign w:val="bottom"/>
            <w:hideMark/>
          </w:tcPr>
          <w:p w:rsidR="00653B39" w:rsidRPr="00371C09" w:rsidRDefault="00653B39" w:rsidP="00653B39">
            <w:pPr>
              <w:rPr>
                <w:rFonts w:eastAsia="Times New Roman"/>
                <w:b/>
                <w:color w:val="000000"/>
                <w:sz w:val="20"/>
                <w:szCs w:val="20"/>
                <w:lang w:eastAsia="es-CO"/>
              </w:rPr>
            </w:pPr>
            <w:r w:rsidRPr="00371C09">
              <w:rPr>
                <w:rFonts w:eastAsia="Times New Roman"/>
                <w:b/>
                <w:color w:val="000000"/>
                <w:sz w:val="20"/>
                <w:szCs w:val="20"/>
                <w:lang w:eastAsia="es-CO"/>
              </w:rPr>
              <w:t> CAP</w:t>
            </w:r>
          </w:p>
        </w:tc>
        <w:tc>
          <w:tcPr>
            <w:tcW w:w="41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2006</w:t>
            </w:r>
          </w:p>
        </w:tc>
        <w:tc>
          <w:tcPr>
            <w:tcW w:w="434"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2007</w:t>
            </w:r>
          </w:p>
        </w:tc>
        <w:tc>
          <w:tcPr>
            <w:tcW w:w="434"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2008</w:t>
            </w:r>
          </w:p>
        </w:tc>
        <w:tc>
          <w:tcPr>
            <w:tcW w:w="434"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2009</w:t>
            </w:r>
          </w:p>
        </w:tc>
        <w:tc>
          <w:tcPr>
            <w:tcW w:w="503"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2010</w:t>
            </w:r>
          </w:p>
        </w:tc>
        <w:tc>
          <w:tcPr>
            <w:tcW w:w="39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2011</w:t>
            </w:r>
          </w:p>
        </w:tc>
        <w:tc>
          <w:tcPr>
            <w:tcW w:w="2040" w:type="pct"/>
            <w:shd w:val="clear" w:color="auto" w:fill="auto"/>
            <w:vAlign w:val="bottom"/>
            <w:hideMark/>
          </w:tcPr>
          <w:p w:rsidR="00653B39" w:rsidRPr="000712E5" w:rsidRDefault="00653B39" w:rsidP="00653B39">
            <w:pPr>
              <w:rPr>
                <w:rFonts w:eastAsia="Times New Roman"/>
                <w:b/>
                <w:bCs/>
                <w:color w:val="000000"/>
                <w:sz w:val="20"/>
                <w:szCs w:val="20"/>
                <w:lang w:eastAsia="es-CO"/>
              </w:rPr>
            </w:pPr>
            <w:r w:rsidRPr="000712E5">
              <w:rPr>
                <w:rFonts w:eastAsia="Times New Roman"/>
                <w:b/>
                <w:bCs/>
                <w:color w:val="000000"/>
                <w:sz w:val="20"/>
                <w:szCs w:val="20"/>
                <w:lang w:eastAsia="es-CO"/>
              </w:rPr>
              <w:t>Valoración competitiva de Santander en el mercado de Estados Unidos</w:t>
            </w:r>
          </w:p>
        </w:tc>
      </w:tr>
      <w:tr w:rsidR="00653B39" w:rsidRPr="000712E5" w:rsidTr="00653B39">
        <w:trPr>
          <w:trHeight w:val="300"/>
        </w:trPr>
        <w:tc>
          <w:tcPr>
            <w:tcW w:w="34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27</w:t>
            </w:r>
          </w:p>
        </w:tc>
        <w:tc>
          <w:tcPr>
            <w:tcW w:w="41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0,00</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-0,01</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0,06</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0,39</w:t>
            </w:r>
          </w:p>
        </w:tc>
        <w:tc>
          <w:tcPr>
            <w:tcW w:w="503"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0,43</w:t>
            </w:r>
          </w:p>
        </w:tc>
        <w:tc>
          <w:tcPr>
            <w:tcW w:w="39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0,35</w:t>
            </w:r>
          </w:p>
        </w:tc>
        <w:tc>
          <w:tcPr>
            <w:tcW w:w="2040" w:type="pct"/>
            <w:shd w:val="clear" w:color="auto" w:fill="auto"/>
            <w:noWrap/>
            <w:vAlign w:val="bottom"/>
            <w:hideMark/>
          </w:tcPr>
          <w:p w:rsidR="00653B39" w:rsidRDefault="00653B39" w:rsidP="0096159F">
            <w:pPr>
              <w:rPr>
                <w:rFonts w:eastAsia="Times New Roman"/>
                <w:color w:val="000000"/>
                <w:sz w:val="18"/>
                <w:szCs w:val="18"/>
                <w:lang w:eastAsia="es-CO"/>
              </w:rPr>
            </w:pPr>
            <w:r w:rsidRPr="00CA69E8">
              <w:rPr>
                <w:rFonts w:eastAsia="Times New Roman"/>
                <w:color w:val="000000"/>
                <w:sz w:val="18"/>
                <w:szCs w:val="18"/>
                <w:lang w:eastAsia="es-CO"/>
              </w:rPr>
              <w:t>Potencial competitivo mediano</w:t>
            </w:r>
            <w:r>
              <w:rPr>
                <w:rFonts w:eastAsia="Times New Roman"/>
                <w:color w:val="000000"/>
                <w:sz w:val="18"/>
                <w:szCs w:val="18"/>
                <w:lang w:eastAsia="es-CO"/>
              </w:rPr>
              <w:t>.</w:t>
            </w:r>
          </w:p>
          <w:p w:rsidR="00653B39" w:rsidRPr="00CA69E8" w:rsidRDefault="00653B39" w:rsidP="0096159F">
            <w:pPr>
              <w:rPr>
                <w:rFonts w:eastAsia="Times New Roman"/>
                <w:color w:val="000000"/>
                <w:sz w:val="18"/>
                <w:szCs w:val="18"/>
                <w:lang w:eastAsia="es-CO"/>
              </w:rPr>
            </w:pPr>
            <w:r>
              <w:rPr>
                <w:rFonts w:eastAsia="Times New Roman"/>
                <w:color w:val="000000"/>
                <w:sz w:val="18"/>
                <w:szCs w:val="18"/>
                <w:lang w:eastAsia="es-CO"/>
              </w:rPr>
              <w:t>Ganó competitividad en los años 2009, 2010</w:t>
            </w:r>
            <w:r w:rsidRPr="00CA69E8">
              <w:rPr>
                <w:rFonts w:eastAsia="Times New Roman"/>
                <w:color w:val="000000"/>
                <w:sz w:val="18"/>
                <w:szCs w:val="18"/>
                <w:lang w:eastAsia="es-CO"/>
              </w:rPr>
              <w:t xml:space="preserve"> </w:t>
            </w:r>
            <w:r>
              <w:rPr>
                <w:rFonts w:eastAsia="Times New Roman"/>
                <w:color w:val="000000"/>
                <w:sz w:val="18"/>
                <w:szCs w:val="18"/>
                <w:lang w:eastAsia="es-CO"/>
              </w:rPr>
              <w:t>y 2011 en el mercado de Estados Unidos.</w:t>
            </w:r>
          </w:p>
        </w:tc>
      </w:tr>
      <w:tr w:rsidR="00653B39" w:rsidRPr="000712E5" w:rsidTr="00653B39">
        <w:trPr>
          <w:trHeight w:val="300"/>
        </w:trPr>
        <w:tc>
          <w:tcPr>
            <w:tcW w:w="34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9</w:t>
            </w:r>
          </w:p>
        </w:tc>
        <w:tc>
          <w:tcPr>
            <w:tcW w:w="41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0,38</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0,34</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0,31</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0,35</w:t>
            </w:r>
          </w:p>
        </w:tc>
        <w:tc>
          <w:tcPr>
            <w:tcW w:w="503"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0,38</w:t>
            </w:r>
          </w:p>
        </w:tc>
        <w:tc>
          <w:tcPr>
            <w:tcW w:w="39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0,42</w:t>
            </w:r>
          </w:p>
        </w:tc>
        <w:tc>
          <w:tcPr>
            <w:tcW w:w="2040" w:type="pct"/>
            <w:shd w:val="clear" w:color="auto" w:fill="auto"/>
            <w:noWrap/>
            <w:vAlign w:val="bottom"/>
            <w:hideMark/>
          </w:tcPr>
          <w:p w:rsidR="00653B39" w:rsidRPr="00CA69E8" w:rsidRDefault="00653B39" w:rsidP="0096159F">
            <w:pPr>
              <w:rPr>
                <w:rFonts w:eastAsia="Times New Roman"/>
                <w:color w:val="000000"/>
                <w:sz w:val="18"/>
                <w:szCs w:val="18"/>
                <w:lang w:eastAsia="es-CO"/>
              </w:rPr>
            </w:pPr>
            <w:r>
              <w:rPr>
                <w:rFonts w:eastAsia="Times New Roman"/>
                <w:color w:val="000000"/>
                <w:sz w:val="18"/>
                <w:szCs w:val="18"/>
                <w:lang w:eastAsia="es-CO"/>
              </w:rPr>
              <w:t>Potencial competitivo mediano.  El potencial competitivo tiende a ser constante entre el 2006 – 2011.</w:t>
            </w:r>
          </w:p>
        </w:tc>
      </w:tr>
      <w:tr w:rsidR="00653B39" w:rsidRPr="000712E5" w:rsidTr="00653B39">
        <w:trPr>
          <w:trHeight w:val="300"/>
        </w:trPr>
        <w:tc>
          <w:tcPr>
            <w:tcW w:w="34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71</w:t>
            </w:r>
          </w:p>
        </w:tc>
        <w:tc>
          <w:tcPr>
            <w:tcW w:w="41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0,18</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0,00</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0,00</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0,00</w:t>
            </w:r>
          </w:p>
        </w:tc>
        <w:tc>
          <w:tcPr>
            <w:tcW w:w="503"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0,00</w:t>
            </w:r>
          </w:p>
        </w:tc>
        <w:tc>
          <w:tcPr>
            <w:tcW w:w="39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-0,03</w:t>
            </w:r>
          </w:p>
        </w:tc>
        <w:tc>
          <w:tcPr>
            <w:tcW w:w="2040" w:type="pct"/>
            <w:shd w:val="clear" w:color="auto" w:fill="auto"/>
            <w:noWrap/>
            <w:vAlign w:val="bottom"/>
            <w:hideMark/>
          </w:tcPr>
          <w:p w:rsidR="00653B39" w:rsidRDefault="00653B39" w:rsidP="0096159F">
            <w:pPr>
              <w:rPr>
                <w:rFonts w:eastAsia="Times New Roman"/>
                <w:color w:val="000000"/>
                <w:sz w:val="18"/>
                <w:szCs w:val="18"/>
                <w:lang w:eastAsia="es-CO"/>
              </w:rPr>
            </w:pPr>
            <w:r w:rsidRPr="00CA69E8">
              <w:rPr>
                <w:rFonts w:eastAsia="Times New Roman"/>
                <w:color w:val="000000"/>
                <w:sz w:val="18"/>
                <w:szCs w:val="18"/>
                <w:lang w:eastAsia="es-CO"/>
              </w:rPr>
              <w:t>Carece de competitividad</w:t>
            </w:r>
            <w:r>
              <w:rPr>
                <w:rFonts w:eastAsia="Times New Roman"/>
                <w:color w:val="000000"/>
                <w:sz w:val="18"/>
                <w:szCs w:val="18"/>
                <w:lang w:eastAsia="es-CO"/>
              </w:rPr>
              <w:t>.</w:t>
            </w:r>
          </w:p>
          <w:p w:rsidR="00653B39" w:rsidRPr="00CA69E8" w:rsidRDefault="00653B39" w:rsidP="0096159F">
            <w:pPr>
              <w:rPr>
                <w:rFonts w:eastAsia="Times New Roman"/>
                <w:color w:val="000000"/>
                <w:sz w:val="18"/>
                <w:szCs w:val="18"/>
                <w:lang w:eastAsia="es-CO"/>
              </w:rPr>
            </w:pPr>
            <w:r>
              <w:rPr>
                <w:rFonts w:eastAsia="Times New Roman"/>
                <w:color w:val="000000"/>
                <w:sz w:val="18"/>
                <w:szCs w:val="18"/>
                <w:lang w:eastAsia="es-CO"/>
              </w:rPr>
              <w:t>Ha disminuido la competitividad en el mercado de Estados Unidos a partir del 2006.</w:t>
            </w:r>
          </w:p>
        </w:tc>
      </w:tr>
      <w:tr w:rsidR="00653B39" w:rsidRPr="000712E5" w:rsidTr="00653B39">
        <w:trPr>
          <w:trHeight w:val="300"/>
        </w:trPr>
        <w:tc>
          <w:tcPr>
            <w:tcW w:w="34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29</w:t>
            </w:r>
          </w:p>
        </w:tc>
        <w:tc>
          <w:tcPr>
            <w:tcW w:w="41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-0,04</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0,00</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0,31</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0,51</w:t>
            </w:r>
          </w:p>
        </w:tc>
        <w:tc>
          <w:tcPr>
            <w:tcW w:w="503"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0,74</w:t>
            </w:r>
          </w:p>
        </w:tc>
        <w:tc>
          <w:tcPr>
            <w:tcW w:w="39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0,09</w:t>
            </w:r>
          </w:p>
        </w:tc>
        <w:tc>
          <w:tcPr>
            <w:tcW w:w="2040" w:type="pct"/>
            <w:shd w:val="clear" w:color="auto" w:fill="auto"/>
            <w:noWrap/>
            <w:vAlign w:val="bottom"/>
            <w:hideMark/>
          </w:tcPr>
          <w:p w:rsidR="00653B39" w:rsidRPr="00CA69E8" w:rsidRDefault="00653B39" w:rsidP="0096159F">
            <w:pPr>
              <w:rPr>
                <w:rFonts w:eastAsia="Times New Roman"/>
                <w:color w:val="000000"/>
                <w:sz w:val="18"/>
                <w:szCs w:val="18"/>
                <w:lang w:eastAsia="es-CO"/>
              </w:rPr>
            </w:pPr>
            <w:r w:rsidRPr="00CA69E8">
              <w:rPr>
                <w:rFonts w:eastAsia="Times New Roman"/>
                <w:color w:val="000000"/>
                <w:sz w:val="18"/>
                <w:szCs w:val="18"/>
                <w:lang w:eastAsia="es-CO"/>
              </w:rPr>
              <w:t>Muy baja competitividad</w:t>
            </w:r>
            <w:r>
              <w:rPr>
                <w:rFonts w:eastAsia="Times New Roman"/>
                <w:color w:val="000000"/>
                <w:sz w:val="18"/>
                <w:szCs w:val="18"/>
                <w:lang w:eastAsia="es-CO"/>
              </w:rPr>
              <w:t>.  Con tendencia a ganar competitividad en el mercado de Estados Unidos especialmente entre 2008 – 2010.</w:t>
            </w:r>
          </w:p>
        </w:tc>
      </w:tr>
      <w:tr w:rsidR="00653B39" w:rsidRPr="000712E5" w:rsidTr="00653B39">
        <w:trPr>
          <w:trHeight w:val="300"/>
        </w:trPr>
        <w:tc>
          <w:tcPr>
            <w:tcW w:w="34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87</w:t>
            </w:r>
          </w:p>
        </w:tc>
        <w:tc>
          <w:tcPr>
            <w:tcW w:w="41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-0,11</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-0,11</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-0,10</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-0,08</w:t>
            </w:r>
          </w:p>
        </w:tc>
        <w:tc>
          <w:tcPr>
            <w:tcW w:w="503"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-0,10</w:t>
            </w:r>
          </w:p>
        </w:tc>
        <w:tc>
          <w:tcPr>
            <w:tcW w:w="39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-0,11</w:t>
            </w:r>
          </w:p>
        </w:tc>
        <w:tc>
          <w:tcPr>
            <w:tcW w:w="2040" w:type="pct"/>
            <w:shd w:val="clear" w:color="auto" w:fill="auto"/>
            <w:noWrap/>
            <w:vAlign w:val="bottom"/>
            <w:hideMark/>
          </w:tcPr>
          <w:p w:rsidR="00653B39" w:rsidRPr="00CA69E8" w:rsidRDefault="00653B39" w:rsidP="0096159F">
            <w:pPr>
              <w:rPr>
                <w:rFonts w:eastAsia="Times New Roman"/>
                <w:color w:val="000000"/>
                <w:sz w:val="18"/>
                <w:szCs w:val="18"/>
                <w:lang w:eastAsia="es-CO"/>
              </w:rPr>
            </w:pPr>
            <w:r w:rsidRPr="00CA69E8">
              <w:rPr>
                <w:rFonts w:eastAsia="Times New Roman"/>
                <w:color w:val="000000"/>
                <w:sz w:val="18"/>
                <w:szCs w:val="18"/>
                <w:lang w:eastAsia="es-CO"/>
              </w:rPr>
              <w:t>Carece de competitividad</w:t>
            </w:r>
            <w:r>
              <w:rPr>
                <w:rFonts w:eastAsia="Times New Roman"/>
                <w:color w:val="000000"/>
                <w:sz w:val="18"/>
                <w:szCs w:val="18"/>
                <w:lang w:eastAsia="es-CO"/>
              </w:rPr>
              <w:t>.  No se presenta ninguna ventaja en el mercado de Estados Unidos entre 2006 – 2011.</w:t>
            </w:r>
          </w:p>
        </w:tc>
      </w:tr>
      <w:tr w:rsidR="00653B39" w:rsidRPr="000712E5" w:rsidTr="00653B39">
        <w:trPr>
          <w:trHeight w:val="300"/>
        </w:trPr>
        <w:tc>
          <w:tcPr>
            <w:tcW w:w="34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15</w:t>
            </w:r>
          </w:p>
        </w:tc>
        <w:tc>
          <w:tcPr>
            <w:tcW w:w="41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0,04</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0,01</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0,00</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0,00</w:t>
            </w:r>
          </w:p>
        </w:tc>
        <w:tc>
          <w:tcPr>
            <w:tcW w:w="503"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0,00</w:t>
            </w:r>
          </w:p>
        </w:tc>
        <w:tc>
          <w:tcPr>
            <w:tcW w:w="39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-0,07</w:t>
            </w:r>
          </w:p>
        </w:tc>
        <w:tc>
          <w:tcPr>
            <w:tcW w:w="2040" w:type="pct"/>
            <w:shd w:val="clear" w:color="auto" w:fill="auto"/>
            <w:noWrap/>
            <w:vAlign w:val="bottom"/>
            <w:hideMark/>
          </w:tcPr>
          <w:p w:rsidR="00653B39" w:rsidRPr="00CA69E8" w:rsidRDefault="00653B39" w:rsidP="0096159F">
            <w:pPr>
              <w:rPr>
                <w:rFonts w:eastAsia="Times New Roman"/>
                <w:color w:val="000000"/>
                <w:sz w:val="18"/>
                <w:szCs w:val="18"/>
                <w:lang w:eastAsia="es-CO"/>
              </w:rPr>
            </w:pPr>
            <w:r w:rsidRPr="00CA69E8">
              <w:rPr>
                <w:rFonts w:eastAsia="Times New Roman"/>
                <w:color w:val="000000"/>
                <w:sz w:val="18"/>
                <w:szCs w:val="18"/>
                <w:lang w:eastAsia="es-CO"/>
              </w:rPr>
              <w:t>Carece de competitividad</w:t>
            </w:r>
            <w:r>
              <w:rPr>
                <w:rFonts w:eastAsia="Times New Roman"/>
                <w:color w:val="000000"/>
                <w:sz w:val="18"/>
                <w:szCs w:val="18"/>
                <w:lang w:eastAsia="es-CO"/>
              </w:rPr>
              <w:t>.  No se presenta ninguna ventaja en el mercado de Estados Unidos entre 2006 – 2011.</w:t>
            </w:r>
          </w:p>
        </w:tc>
      </w:tr>
      <w:tr w:rsidR="00653B39" w:rsidRPr="000712E5" w:rsidTr="00653B39">
        <w:trPr>
          <w:trHeight w:val="300"/>
        </w:trPr>
        <w:tc>
          <w:tcPr>
            <w:tcW w:w="34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84</w:t>
            </w:r>
          </w:p>
        </w:tc>
        <w:tc>
          <w:tcPr>
            <w:tcW w:w="41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-0,45</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-0,38</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0,01</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-0,39</w:t>
            </w:r>
          </w:p>
        </w:tc>
        <w:tc>
          <w:tcPr>
            <w:tcW w:w="503"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-0,34</w:t>
            </w:r>
          </w:p>
        </w:tc>
        <w:tc>
          <w:tcPr>
            <w:tcW w:w="39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-0,27</w:t>
            </w:r>
          </w:p>
        </w:tc>
        <w:tc>
          <w:tcPr>
            <w:tcW w:w="2040" w:type="pct"/>
            <w:shd w:val="clear" w:color="auto" w:fill="auto"/>
            <w:noWrap/>
            <w:vAlign w:val="bottom"/>
            <w:hideMark/>
          </w:tcPr>
          <w:p w:rsidR="00653B39" w:rsidRPr="00CA69E8" w:rsidRDefault="00653B39" w:rsidP="0096159F">
            <w:pPr>
              <w:rPr>
                <w:rFonts w:eastAsia="Times New Roman"/>
                <w:color w:val="000000"/>
                <w:sz w:val="18"/>
                <w:szCs w:val="18"/>
                <w:lang w:eastAsia="es-CO"/>
              </w:rPr>
            </w:pPr>
            <w:r w:rsidRPr="00CA69E8">
              <w:rPr>
                <w:rFonts w:eastAsia="Times New Roman"/>
                <w:color w:val="000000"/>
                <w:sz w:val="18"/>
                <w:szCs w:val="18"/>
                <w:lang w:eastAsia="es-CO"/>
              </w:rPr>
              <w:t>Carece de competitividad</w:t>
            </w:r>
            <w:r>
              <w:rPr>
                <w:rFonts w:eastAsia="Times New Roman"/>
                <w:color w:val="000000"/>
                <w:sz w:val="18"/>
                <w:szCs w:val="18"/>
                <w:lang w:eastAsia="es-CO"/>
              </w:rPr>
              <w:t>. No se presenta ninguna ventaja en el mercado de Estados Unidos entre 2006 – 2011.</w:t>
            </w:r>
          </w:p>
        </w:tc>
      </w:tr>
      <w:tr w:rsidR="00653B39" w:rsidRPr="000712E5" w:rsidTr="00653B39">
        <w:trPr>
          <w:trHeight w:val="300"/>
        </w:trPr>
        <w:tc>
          <w:tcPr>
            <w:tcW w:w="34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62</w:t>
            </w:r>
          </w:p>
        </w:tc>
        <w:tc>
          <w:tcPr>
            <w:tcW w:w="41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0,49</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0,31</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0,32</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0,39</w:t>
            </w:r>
          </w:p>
        </w:tc>
        <w:tc>
          <w:tcPr>
            <w:tcW w:w="503"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0,39</w:t>
            </w:r>
          </w:p>
        </w:tc>
        <w:tc>
          <w:tcPr>
            <w:tcW w:w="39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0,24</w:t>
            </w:r>
          </w:p>
        </w:tc>
        <w:tc>
          <w:tcPr>
            <w:tcW w:w="2040" w:type="pct"/>
            <w:shd w:val="clear" w:color="auto" w:fill="auto"/>
            <w:noWrap/>
            <w:vAlign w:val="bottom"/>
            <w:hideMark/>
          </w:tcPr>
          <w:p w:rsidR="00653B39" w:rsidRPr="00CA69E8" w:rsidRDefault="00653B39" w:rsidP="0096159F">
            <w:pPr>
              <w:rPr>
                <w:rFonts w:eastAsia="Times New Roman"/>
                <w:color w:val="000000"/>
                <w:sz w:val="18"/>
                <w:szCs w:val="18"/>
                <w:lang w:eastAsia="es-CO"/>
              </w:rPr>
            </w:pPr>
            <w:r w:rsidRPr="00CA69E8">
              <w:rPr>
                <w:rFonts w:eastAsia="Times New Roman"/>
                <w:color w:val="000000"/>
                <w:sz w:val="18"/>
                <w:szCs w:val="18"/>
                <w:lang w:eastAsia="es-CO"/>
              </w:rPr>
              <w:t>Potencial competitivo mediano</w:t>
            </w:r>
            <w:r>
              <w:rPr>
                <w:rFonts w:eastAsia="Times New Roman"/>
                <w:color w:val="000000"/>
                <w:sz w:val="18"/>
                <w:szCs w:val="18"/>
                <w:lang w:eastAsia="es-CO"/>
              </w:rPr>
              <w:t xml:space="preserve">.  Ha disminuido levemente el potencial </w:t>
            </w:r>
            <w:r>
              <w:rPr>
                <w:rFonts w:eastAsia="Times New Roman"/>
                <w:color w:val="000000"/>
                <w:sz w:val="18"/>
                <w:szCs w:val="18"/>
                <w:lang w:eastAsia="es-CO"/>
              </w:rPr>
              <w:lastRenderedPageBreak/>
              <w:t>competitivo en el año 2011, respecto a los años anteriores.</w:t>
            </w:r>
            <w:r w:rsidRPr="00CA69E8">
              <w:rPr>
                <w:rFonts w:eastAsia="Times New Roman"/>
                <w:color w:val="000000"/>
                <w:sz w:val="18"/>
                <w:szCs w:val="18"/>
                <w:lang w:eastAsia="es-CO"/>
              </w:rPr>
              <w:t xml:space="preserve"> </w:t>
            </w:r>
          </w:p>
        </w:tc>
      </w:tr>
      <w:tr w:rsidR="00653B39" w:rsidRPr="000712E5" w:rsidTr="00653B39">
        <w:trPr>
          <w:trHeight w:val="300"/>
        </w:trPr>
        <w:tc>
          <w:tcPr>
            <w:tcW w:w="34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lastRenderedPageBreak/>
              <w:t>39</w:t>
            </w:r>
          </w:p>
        </w:tc>
        <w:tc>
          <w:tcPr>
            <w:tcW w:w="41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-0,15</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-0,18</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0,01</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-0,20</w:t>
            </w:r>
          </w:p>
        </w:tc>
        <w:tc>
          <w:tcPr>
            <w:tcW w:w="503"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-0,16</w:t>
            </w:r>
          </w:p>
        </w:tc>
        <w:tc>
          <w:tcPr>
            <w:tcW w:w="39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-0,11</w:t>
            </w:r>
          </w:p>
        </w:tc>
        <w:tc>
          <w:tcPr>
            <w:tcW w:w="2040" w:type="pct"/>
            <w:shd w:val="clear" w:color="auto" w:fill="auto"/>
            <w:noWrap/>
            <w:vAlign w:val="bottom"/>
            <w:hideMark/>
          </w:tcPr>
          <w:p w:rsidR="00653B39" w:rsidRPr="00CA69E8" w:rsidRDefault="00653B39" w:rsidP="0096159F">
            <w:pPr>
              <w:rPr>
                <w:rFonts w:eastAsia="Times New Roman"/>
                <w:color w:val="000000"/>
                <w:sz w:val="18"/>
                <w:szCs w:val="18"/>
                <w:lang w:eastAsia="es-CO"/>
              </w:rPr>
            </w:pPr>
            <w:r w:rsidRPr="00CA69E8">
              <w:rPr>
                <w:rFonts w:eastAsia="Times New Roman"/>
                <w:color w:val="000000"/>
                <w:sz w:val="18"/>
                <w:szCs w:val="18"/>
                <w:lang w:eastAsia="es-CO"/>
              </w:rPr>
              <w:t>Carece de competitividad</w:t>
            </w:r>
            <w:r>
              <w:rPr>
                <w:rFonts w:eastAsia="Times New Roman"/>
                <w:color w:val="000000"/>
                <w:sz w:val="18"/>
                <w:szCs w:val="18"/>
                <w:lang w:eastAsia="es-CO"/>
              </w:rPr>
              <w:t>. No se presenta ninguna ventaja en el mercado de Estados Unidos entre 2006 – 2011.</w:t>
            </w:r>
          </w:p>
        </w:tc>
      </w:tr>
      <w:tr w:rsidR="00653B39" w:rsidRPr="000712E5" w:rsidTr="00653B39">
        <w:trPr>
          <w:trHeight w:val="300"/>
        </w:trPr>
        <w:tc>
          <w:tcPr>
            <w:tcW w:w="34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64</w:t>
            </w:r>
          </w:p>
        </w:tc>
        <w:tc>
          <w:tcPr>
            <w:tcW w:w="41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0,05</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0,03</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0,03</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0,03</w:t>
            </w:r>
          </w:p>
        </w:tc>
        <w:tc>
          <w:tcPr>
            <w:tcW w:w="503"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0,05</w:t>
            </w:r>
          </w:p>
        </w:tc>
        <w:tc>
          <w:tcPr>
            <w:tcW w:w="39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0,03</w:t>
            </w:r>
          </w:p>
        </w:tc>
        <w:tc>
          <w:tcPr>
            <w:tcW w:w="2040" w:type="pct"/>
            <w:shd w:val="clear" w:color="auto" w:fill="auto"/>
            <w:noWrap/>
            <w:vAlign w:val="bottom"/>
            <w:hideMark/>
          </w:tcPr>
          <w:p w:rsidR="00653B39" w:rsidRPr="00CA69E8" w:rsidRDefault="00653B39" w:rsidP="0096159F">
            <w:pPr>
              <w:rPr>
                <w:rFonts w:eastAsia="Times New Roman"/>
                <w:color w:val="000000"/>
                <w:sz w:val="18"/>
                <w:szCs w:val="18"/>
                <w:lang w:eastAsia="es-CO"/>
              </w:rPr>
            </w:pPr>
            <w:r w:rsidRPr="00CA69E8">
              <w:rPr>
                <w:rFonts w:eastAsia="Times New Roman"/>
                <w:color w:val="000000"/>
                <w:sz w:val="18"/>
                <w:szCs w:val="18"/>
                <w:lang w:eastAsia="es-CO"/>
              </w:rPr>
              <w:t>Muy baja competitividad</w:t>
            </w:r>
            <w:r>
              <w:rPr>
                <w:rFonts w:eastAsia="Times New Roman"/>
                <w:color w:val="000000"/>
                <w:sz w:val="18"/>
                <w:szCs w:val="18"/>
                <w:lang w:eastAsia="es-CO"/>
              </w:rPr>
              <w:t xml:space="preserve">.  No se evidencia ganancia de competitividad entre 2006 – 2011. </w:t>
            </w:r>
          </w:p>
        </w:tc>
      </w:tr>
      <w:tr w:rsidR="00653B39" w:rsidRPr="000712E5" w:rsidTr="00653B39">
        <w:trPr>
          <w:trHeight w:val="300"/>
        </w:trPr>
        <w:tc>
          <w:tcPr>
            <w:tcW w:w="34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61</w:t>
            </w:r>
          </w:p>
        </w:tc>
        <w:tc>
          <w:tcPr>
            <w:tcW w:w="41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0,12</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0,12</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0,06</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0,05</w:t>
            </w:r>
          </w:p>
        </w:tc>
        <w:tc>
          <w:tcPr>
            <w:tcW w:w="503"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0,10</w:t>
            </w:r>
          </w:p>
        </w:tc>
        <w:tc>
          <w:tcPr>
            <w:tcW w:w="39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0,06</w:t>
            </w:r>
          </w:p>
        </w:tc>
        <w:tc>
          <w:tcPr>
            <w:tcW w:w="2040" w:type="pct"/>
            <w:shd w:val="clear" w:color="auto" w:fill="auto"/>
            <w:noWrap/>
            <w:vAlign w:val="bottom"/>
            <w:hideMark/>
          </w:tcPr>
          <w:p w:rsidR="00653B39" w:rsidRPr="000712E5" w:rsidRDefault="00653B39" w:rsidP="0096159F">
            <w:pPr>
              <w:rPr>
                <w:rFonts w:eastAsia="Times New Roman"/>
                <w:color w:val="000000"/>
                <w:sz w:val="20"/>
                <w:szCs w:val="20"/>
                <w:lang w:eastAsia="es-CO"/>
              </w:rPr>
            </w:pPr>
            <w:r w:rsidRPr="000712E5">
              <w:rPr>
                <w:rFonts w:eastAsia="Times New Roman"/>
                <w:color w:val="000000"/>
                <w:sz w:val="20"/>
                <w:szCs w:val="20"/>
                <w:lang w:eastAsia="es-CO"/>
              </w:rPr>
              <w:t>Muy baja competitividad</w:t>
            </w:r>
            <w:r>
              <w:rPr>
                <w:rFonts w:eastAsia="Times New Roman"/>
                <w:color w:val="000000"/>
                <w:sz w:val="20"/>
                <w:szCs w:val="20"/>
                <w:lang w:eastAsia="es-CO"/>
              </w:rPr>
              <w:t xml:space="preserve">.  </w:t>
            </w:r>
            <w:r>
              <w:rPr>
                <w:rFonts w:eastAsia="Times New Roman"/>
                <w:color w:val="000000"/>
                <w:sz w:val="18"/>
                <w:szCs w:val="18"/>
                <w:lang w:eastAsia="es-CO"/>
              </w:rPr>
              <w:t>No se evidencia ganancia de competitividad entre 2006 – 2011.</w:t>
            </w:r>
          </w:p>
        </w:tc>
      </w:tr>
      <w:tr w:rsidR="00653B39" w:rsidRPr="000712E5" w:rsidTr="00653B39">
        <w:trPr>
          <w:trHeight w:val="300"/>
        </w:trPr>
        <w:tc>
          <w:tcPr>
            <w:tcW w:w="345" w:type="pct"/>
            <w:shd w:val="clear" w:color="auto" w:fill="auto"/>
            <w:noWrap/>
            <w:vAlign w:val="bottom"/>
            <w:hideMark/>
          </w:tcPr>
          <w:p w:rsidR="00653B39" w:rsidRPr="00371C09" w:rsidRDefault="00653B39" w:rsidP="00653B39">
            <w:pPr>
              <w:jc w:val="right"/>
              <w:rPr>
                <w:rFonts w:eastAsia="Times New Roman"/>
                <w:b/>
                <w:color w:val="000000"/>
                <w:sz w:val="20"/>
                <w:szCs w:val="20"/>
                <w:lang w:eastAsia="es-CO"/>
              </w:rPr>
            </w:pPr>
            <w:r w:rsidRPr="00371C09">
              <w:rPr>
                <w:rFonts w:eastAsia="Times New Roman"/>
                <w:b/>
                <w:color w:val="000000"/>
                <w:sz w:val="20"/>
                <w:szCs w:val="20"/>
                <w:lang w:eastAsia="es-CO"/>
              </w:rPr>
              <w:t>2</w:t>
            </w:r>
          </w:p>
        </w:tc>
        <w:tc>
          <w:tcPr>
            <w:tcW w:w="41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0,00</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0,00</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0,00</w:t>
            </w:r>
          </w:p>
        </w:tc>
        <w:tc>
          <w:tcPr>
            <w:tcW w:w="434"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0,00</w:t>
            </w:r>
          </w:p>
        </w:tc>
        <w:tc>
          <w:tcPr>
            <w:tcW w:w="503"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-0,36</w:t>
            </w:r>
          </w:p>
        </w:tc>
        <w:tc>
          <w:tcPr>
            <w:tcW w:w="395" w:type="pct"/>
            <w:shd w:val="clear" w:color="auto" w:fill="auto"/>
            <w:noWrap/>
            <w:vAlign w:val="bottom"/>
            <w:hideMark/>
          </w:tcPr>
          <w:p w:rsidR="00653B39" w:rsidRPr="000712E5" w:rsidRDefault="00653B39" w:rsidP="00653B39">
            <w:pPr>
              <w:jc w:val="right"/>
              <w:rPr>
                <w:rFonts w:eastAsia="Times New Roman"/>
                <w:color w:val="000000"/>
                <w:sz w:val="20"/>
                <w:szCs w:val="20"/>
                <w:lang w:eastAsia="es-CO"/>
              </w:rPr>
            </w:pPr>
            <w:r w:rsidRPr="000712E5">
              <w:rPr>
                <w:rFonts w:eastAsia="Times New Roman"/>
                <w:color w:val="000000"/>
                <w:sz w:val="20"/>
                <w:szCs w:val="20"/>
                <w:lang w:eastAsia="es-CO"/>
              </w:rPr>
              <w:t>-0,46</w:t>
            </w:r>
          </w:p>
        </w:tc>
        <w:tc>
          <w:tcPr>
            <w:tcW w:w="2040" w:type="pct"/>
            <w:shd w:val="clear" w:color="auto" w:fill="auto"/>
            <w:noWrap/>
            <w:vAlign w:val="bottom"/>
            <w:hideMark/>
          </w:tcPr>
          <w:p w:rsidR="00653B39" w:rsidRPr="000712E5" w:rsidRDefault="00653B39" w:rsidP="0096159F">
            <w:pPr>
              <w:rPr>
                <w:rFonts w:eastAsia="Times New Roman"/>
                <w:color w:val="000000"/>
                <w:sz w:val="20"/>
                <w:szCs w:val="20"/>
                <w:lang w:eastAsia="es-CO"/>
              </w:rPr>
            </w:pPr>
            <w:r w:rsidRPr="000712E5">
              <w:rPr>
                <w:rFonts w:eastAsia="Times New Roman"/>
                <w:color w:val="000000"/>
                <w:sz w:val="20"/>
                <w:szCs w:val="20"/>
                <w:lang w:eastAsia="es-CO"/>
              </w:rPr>
              <w:t>Carece de competitividad</w:t>
            </w:r>
            <w:r>
              <w:rPr>
                <w:rFonts w:eastAsia="Times New Roman"/>
                <w:color w:val="000000"/>
                <w:sz w:val="20"/>
                <w:szCs w:val="20"/>
                <w:lang w:eastAsia="es-CO"/>
              </w:rPr>
              <w:t xml:space="preserve">. </w:t>
            </w:r>
            <w:r>
              <w:rPr>
                <w:rFonts w:eastAsia="Times New Roman"/>
                <w:color w:val="000000"/>
                <w:sz w:val="18"/>
                <w:szCs w:val="18"/>
                <w:lang w:eastAsia="es-CO"/>
              </w:rPr>
              <w:t>No se presenta ninguna ventaja en el mercado de Estados Unidos entre 2006 – 2011.</w:t>
            </w:r>
          </w:p>
        </w:tc>
      </w:tr>
    </w:tbl>
    <w:p w:rsidR="00653B39" w:rsidRDefault="0096159F" w:rsidP="00653B39">
      <w:r>
        <w:t>Elaboración propia</w:t>
      </w:r>
    </w:p>
    <w:p w:rsidR="00653B39" w:rsidRDefault="00653B39" w:rsidP="00653B39"/>
    <w:p w:rsidR="00653B39" w:rsidRDefault="00653B39" w:rsidP="0096159F">
      <w:r>
        <w:t>INDICE DE BALASSA</w:t>
      </w:r>
    </w:p>
    <w:p w:rsidR="00653B39" w:rsidRDefault="00653B39" w:rsidP="00653B39"/>
    <w:p w:rsidR="00653B39" w:rsidRDefault="00653B39" w:rsidP="0096159F">
      <w:r>
        <w:t>Mide el grado de importancia de un producto dentro de las exportaciones a un mercado específico.  También se denomina Indice de ventaja comparativa revelada de las exportaciones (IVCR- EXP). Para ello establece una relación entre participación de las exportaciones del producto al mercado destino frente a las exportaciones del producto con las exportaciones totales.  Se calcula mediante la siguiente fórmula:</w:t>
      </w:r>
    </w:p>
    <w:p w:rsidR="00653B39" w:rsidRDefault="00653B39" w:rsidP="00653B39"/>
    <w:p w:rsidR="00653B39" w:rsidRPr="000C1C8E" w:rsidRDefault="00650550" w:rsidP="00653B39">
      <m:oMath>
        <m:sSubSup>
          <m:sSubSupPr>
            <m:ctrlPr>
              <w:rPr>
                <w:rFonts w:ascii="Cambria Math" w:hAnsi="Cambria Math"/>
                <w:i/>
                <w:highlight w:val="lightGray"/>
              </w:rPr>
            </m:ctrlPr>
          </m:sSubSupPr>
          <m:e>
            <m:r>
              <w:rPr>
                <w:rFonts w:ascii="Cambria Math" w:hAnsi="Cambria Math"/>
                <w:highlight w:val="lightGray"/>
              </w:rPr>
              <m:t>IB</m:t>
            </m:r>
          </m:e>
          <m:sub>
            <m:r>
              <w:rPr>
                <w:rFonts w:ascii="Cambria Math" w:hAnsi="Cambria Math"/>
                <w:highlight w:val="lightGray"/>
              </w:rPr>
              <m:t>ij</m:t>
            </m:r>
          </m:sub>
          <m:sup>
            <m:r>
              <w:rPr>
                <w:rFonts w:ascii="Cambria Math" w:hAnsi="Cambria Math"/>
                <w:highlight w:val="lightGray"/>
              </w:rPr>
              <m:t>k</m:t>
            </m:r>
          </m:sup>
        </m:sSubSup>
      </m:oMath>
      <w:r w:rsidR="00653B39" w:rsidRPr="00307B25">
        <w:rPr>
          <w:rFonts w:eastAsiaTheme="minorEastAsia"/>
          <w:highlight w:val="lightGray"/>
        </w:rPr>
        <w:t xml:space="preserve"> = </w:t>
      </w:r>
      <m:oMath>
        <m:f>
          <m:fPr>
            <m:ctrlPr>
              <w:rPr>
                <w:rFonts w:ascii="Cambria Math" w:eastAsiaTheme="minorEastAsia" w:hAnsi="Cambria Math"/>
                <w:i/>
                <w:highlight w:val="lightGray"/>
              </w:rPr>
            </m:ctrlPr>
          </m:fPr>
          <m:num>
            <m:f>
              <m:fPr>
                <m:type m:val="skw"/>
                <m:ctrlPr>
                  <w:rPr>
                    <w:rFonts w:ascii="Cambria Math" w:eastAsiaTheme="minorEastAsia" w:hAnsi="Cambria Math"/>
                    <w:i/>
                    <w:highlight w:val="lightGray"/>
                  </w:rPr>
                </m:ctrlPr>
              </m:fPr>
              <m:num>
                <m:sSubSup>
                  <m:sSubSupPr>
                    <m:ctrlPr>
                      <w:rPr>
                        <w:rFonts w:ascii="Cambria Math" w:eastAsiaTheme="minorEastAsia" w:hAnsi="Cambria Math"/>
                        <w:i/>
                        <w:highlight w:val="lightGray"/>
                      </w:rPr>
                    </m:ctrlPr>
                  </m:sSubSupPr>
                  <m:e>
                    <m:r>
                      <w:rPr>
                        <w:rFonts w:ascii="Cambria Math" w:eastAsiaTheme="minorEastAsia" w:hAnsi="Cambria Math"/>
                        <w:highlight w:val="lightGray"/>
                      </w:rPr>
                      <m:t>X</m:t>
                    </m:r>
                  </m:e>
                  <m:sub>
                    <m:r>
                      <w:rPr>
                        <w:rFonts w:ascii="Cambria Math" w:eastAsiaTheme="minorEastAsia" w:hAnsi="Cambria Math"/>
                        <w:highlight w:val="lightGray"/>
                      </w:rPr>
                      <m:t>ij</m:t>
                    </m:r>
                  </m:sub>
                  <m:sup>
                    <m:r>
                      <w:rPr>
                        <w:rFonts w:ascii="Cambria Math" w:eastAsiaTheme="minorEastAsia" w:hAnsi="Cambria Math"/>
                        <w:highlight w:val="lightGray"/>
                      </w:rPr>
                      <m:t>k</m:t>
                    </m:r>
                  </m:sup>
                </m:sSubSup>
              </m:num>
              <m:den>
                <m:sSub>
                  <m:sSubPr>
                    <m:ctrlPr>
                      <w:rPr>
                        <w:rFonts w:ascii="Cambria Math" w:eastAsiaTheme="minorEastAsia" w:hAnsi="Cambria Math"/>
                        <w:i/>
                        <w:highlight w:val="lightGray"/>
                      </w:rPr>
                    </m:ctrlPr>
                  </m:sSubPr>
                  <m:e>
                    <m:r>
                      <w:rPr>
                        <w:rFonts w:ascii="Cambria Math" w:eastAsiaTheme="minorEastAsia" w:hAnsi="Cambria Math"/>
                        <w:highlight w:val="lightGray"/>
                      </w:rPr>
                      <m:t>XT</m:t>
                    </m:r>
                  </m:e>
                  <m:sub>
                    <m:r>
                      <w:rPr>
                        <w:rFonts w:ascii="Cambria Math" w:eastAsiaTheme="minorEastAsia" w:hAnsi="Cambria Math"/>
                        <w:highlight w:val="lightGray"/>
                      </w:rPr>
                      <m:t>ij</m:t>
                    </m:r>
                  </m:sub>
                </m:sSub>
              </m:den>
            </m:f>
          </m:num>
          <m:den>
            <m:f>
              <m:fPr>
                <m:type m:val="skw"/>
                <m:ctrlPr>
                  <w:rPr>
                    <w:rFonts w:ascii="Cambria Math" w:eastAsiaTheme="minorEastAsia" w:hAnsi="Cambria Math"/>
                    <w:i/>
                    <w:highlight w:val="lightGray"/>
                  </w:rPr>
                </m:ctrlPr>
              </m:fPr>
              <m:num>
                <m:sSubSup>
                  <m:sSubSupPr>
                    <m:ctrlPr>
                      <w:rPr>
                        <w:rFonts w:ascii="Cambria Math" w:eastAsiaTheme="minorEastAsia" w:hAnsi="Cambria Math"/>
                        <w:i/>
                        <w:highlight w:val="lightGray"/>
                      </w:rPr>
                    </m:ctrlPr>
                  </m:sSubSupPr>
                  <m:e>
                    <m:r>
                      <w:rPr>
                        <w:rFonts w:ascii="Cambria Math" w:eastAsiaTheme="minorEastAsia" w:hAnsi="Cambria Math"/>
                        <w:highlight w:val="lightGray"/>
                      </w:rPr>
                      <m:t>X</m:t>
                    </m:r>
                  </m:e>
                  <m:sub>
                    <m:r>
                      <w:rPr>
                        <w:rFonts w:ascii="Cambria Math" w:eastAsiaTheme="minorEastAsia" w:hAnsi="Cambria Math"/>
                        <w:highlight w:val="lightGray"/>
                      </w:rPr>
                      <m:t>iw</m:t>
                    </m:r>
                  </m:sub>
                  <m:sup>
                    <m:r>
                      <w:rPr>
                        <w:rFonts w:ascii="Cambria Math" w:eastAsiaTheme="minorEastAsia" w:hAnsi="Cambria Math"/>
                        <w:highlight w:val="lightGray"/>
                      </w:rPr>
                      <m:t>k</m:t>
                    </m:r>
                  </m:sup>
                </m:sSubSup>
              </m:num>
              <m:den>
                <m:sSub>
                  <m:sSubPr>
                    <m:ctrlPr>
                      <w:rPr>
                        <w:rFonts w:ascii="Cambria Math" w:eastAsiaTheme="minorEastAsia" w:hAnsi="Cambria Math"/>
                        <w:i/>
                        <w:highlight w:val="lightGray"/>
                      </w:rPr>
                    </m:ctrlPr>
                  </m:sSubPr>
                  <m:e>
                    <m:r>
                      <w:rPr>
                        <w:rFonts w:ascii="Cambria Math" w:eastAsiaTheme="minorEastAsia" w:hAnsi="Cambria Math"/>
                        <w:highlight w:val="lightGray"/>
                      </w:rPr>
                      <m:t>XT</m:t>
                    </m:r>
                  </m:e>
                  <m:sub>
                    <m:r>
                      <w:rPr>
                        <w:rFonts w:ascii="Cambria Math" w:eastAsiaTheme="minorEastAsia" w:hAnsi="Cambria Math"/>
                        <w:highlight w:val="lightGray"/>
                      </w:rPr>
                      <m:t>iw</m:t>
                    </m:r>
                  </m:sub>
                </m:sSub>
              </m:den>
            </m:f>
          </m:den>
        </m:f>
      </m:oMath>
    </w:p>
    <w:p w:rsidR="00653B39" w:rsidRDefault="00653B39" w:rsidP="00653B39"/>
    <w:p w:rsidR="00653B39" w:rsidRDefault="00653B39" w:rsidP="00653B39"/>
    <w:p w:rsidR="00653B39" w:rsidRPr="00307B25" w:rsidRDefault="00650550" w:rsidP="00653B39">
      <w:pPr>
        <w:rPr>
          <w:rFonts w:eastAsiaTheme="minorEastAsia"/>
        </w:rPr>
      </w:pPr>
      <m:oMath>
        <m:sSubSup>
          <m:sSubSupPr>
            <m:ctrlPr>
              <w:rPr>
                <w:rFonts w:ascii="Cambria Math" w:eastAsiaTheme="minorEastAsia" w:hAnsi="Cambria Math"/>
                <w:i/>
                <w:highlight w:val="lightGray"/>
              </w:rPr>
            </m:ctrlPr>
          </m:sSubSupPr>
          <m:e>
            <m:r>
              <w:rPr>
                <w:rFonts w:ascii="Cambria Math" w:eastAsiaTheme="minorEastAsia" w:hAnsi="Cambria Math"/>
                <w:highlight w:val="lightGray"/>
              </w:rPr>
              <m:t>X</m:t>
            </m:r>
          </m:e>
          <m:sub>
            <m:r>
              <w:rPr>
                <w:rFonts w:ascii="Cambria Math" w:eastAsiaTheme="minorEastAsia" w:hAnsi="Cambria Math"/>
                <w:highlight w:val="lightGray"/>
              </w:rPr>
              <m:t>ij</m:t>
            </m:r>
          </m:sub>
          <m:sup>
            <m:r>
              <w:rPr>
                <w:rFonts w:ascii="Cambria Math" w:eastAsiaTheme="minorEastAsia" w:hAnsi="Cambria Math"/>
                <w:highlight w:val="lightGray"/>
              </w:rPr>
              <m:t>k</m:t>
            </m:r>
          </m:sup>
        </m:sSubSup>
      </m:oMath>
      <w:r w:rsidR="00653B39">
        <w:rPr>
          <w:rFonts w:eastAsiaTheme="minorEastAsia"/>
        </w:rPr>
        <w:t xml:space="preserve">  = Exportaciones del capítulo k realizadas por la región i hacia el país j.</w:t>
      </w:r>
    </w:p>
    <w:p w:rsidR="00653B39" w:rsidRDefault="00653B39" w:rsidP="00653B39">
      <w:pPr>
        <w:rPr>
          <w:rFonts w:eastAsiaTheme="minorEastAsia"/>
        </w:rPr>
      </w:pPr>
    </w:p>
    <w:p w:rsidR="00653B39" w:rsidRDefault="00650550" w:rsidP="00653B39">
      <w:pPr>
        <w:rPr>
          <w:rFonts w:eastAsiaTheme="minorEastAsia"/>
        </w:rPr>
      </w:pPr>
      <m:oMath>
        <m:sSub>
          <m:sSubPr>
            <m:ctrlPr>
              <w:rPr>
                <w:rFonts w:ascii="Cambria Math" w:eastAsiaTheme="minorEastAsia" w:hAnsi="Cambria Math"/>
                <w:i/>
                <w:highlight w:val="lightGray"/>
              </w:rPr>
            </m:ctrlPr>
          </m:sSubPr>
          <m:e>
            <m:r>
              <w:rPr>
                <w:rFonts w:ascii="Cambria Math" w:eastAsiaTheme="minorEastAsia" w:hAnsi="Cambria Math"/>
                <w:highlight w:val="lightGray"/>
              </w:rPr>
              <m:t>XT</m:t>
            </m:r>
          </m:e>
          <m:sub>
            <m:r>
              <w:rPr>
                <w:rFonts w:ascii="Cambria Math" w:eastAsiaTheme="minorEastAsia" w:hAnsi="Cambria Math"/>
                <w:highlight w:val="lightGray"/>
              </w:rPr>
              <m:t>ij</m:t>
            </m:r>
          </m:sub>
        </m:sSub>
      </m:oMath>
      <w:r w:rsidR="00653B39">
        <w:rPr>
          <w:rFonts w:eastAsiaTheme="minorEastAsia"/>
        </w:rPr>
        <w:t xml:space="preserve"> =Exportaciones totales de la región i, al país j.</w:t>
      </w:r>
    </w:p>
    <w:p w:rsidR="00653B39" w:rsidRDefault="00653B39" w:rsidP="00653B39">
      <w:pPr>
        <w:rPr>
          <w:rFonts w:eastAsiaTheme="minorEastAsia"/>
        </w:rPr>
      </w:pPr>
    </w:p>
    <w:p w:rsidR="00653B39" w:rsidRDefault="00650550" w:rsidP="00653B39">
      <w:pPr>
        <w:rPr>
          <w:rFonts w:eastAsiaTheme="minorEastAsia"/>
        </w:rPr>
      </w:pPr>
      <m:oMath>
        <m:sSubSup>
          <m:sSubSupPr>
            <m:ctrlPr>
              <w:rPr>
                <w:rFonts w:ascii="Cambria Math" w:eastAsiaTheme="minorEastAsia" w:hAnsi="Cambria Math"/>
                <w:i/>
                <w:highlight w:val="lightGray"/>
              </w:rPr>
            </m:ctrlPr>
          </m:sSubSupPr>
          <m:e>
            <m:r>
              <w:rPr>
                <w:rFonts w:ascii="Cambria Math" w:eastAsiaTheme="minorEastAsia" w:hAnsi="Cambria Math"/>
                <w:highlight w:val="lightGray"/>
              </w:rPr>
              <m:t>X</m:t>
            </m:r>
          </m:e>
          <m:sub>
            <m:r>
              <w:rPr>
                <w:rFonts w:ascii="Cambria Math" w:eastAsiaTheme="minorEastAsia" w:hAnsi="Cambria Math"/>
                <w:highlight w:val="lightGray"/>
              </w:rPr>
              <m:t>iw</m:t>
            </m:r>
          </m:sub>
          <m:sup>
            <m:r>
              <w:rPr>
                <w:rFonts w:ascii="Cambria Math" w:eastAsiaTheme="minorEastAsia" w:hAnsi="Cambria Math"/>
                <w:highlight w:val="lightGray"/>
              </w:rPr>
              <m:t>k</m:t>
            </m:r>
          </m:sup>
        </m:sSubSup>
      </m:oMath>
      <w:r w:rsidR="00653B39">
        <w:rPr>
          <w:rFonts w:eastAsiaTheme="minorEastAsia"/>
        </w:rPr>
        <w:t xml:space="preserve">  =Exportaciones del capítulo k por la región i, al mundo (w).</w:t>
      </w:r>
    </w:p>
    <w:p w:rsidR="00653B39" w:rsidRDefault="00653B39" w:rsidP="00653B39">
      <w:pPr>
        <w:rPr>
          <w:rFonts w:eastAsiaTheme="minorEastAsia"/>
        </w:rPr>
      </w:pPr>
    </w:p>
    <w:p w:rsidR="00653B39" w:rsidRDefault="00650550" w:rsidP="00653B39">
      <w:pPr>
        <w:rPr>
          <w:rFonts w:eastAsiaTheme="minorEastAsia"/>
        </w:rPr>
      </w:pPr>
      <m:oMath>
        <m:sSub>
          <m:sSubPr>
            <m:ctrlPr>
              <w:rPr>
                <w:rFonts w:ascii="Cambria Math" w:eastAsiaTheme="minorEastAsia" w:hAnsi="Cambria Math"/>
                <w:i/>
                <w:highlight w:val="lightGray"/>
              </w:rPr>
            </m:ctrlPr>
          </m:sSubPr>
          <m:e>
            <m:r>
              <w:rPr>
                <w:rFonts w:ascii="Cambria Math" w:eastAsiaTheme="minorEastAsia" w:hAnsi="Cambria Math"/>
                <w:highlight w:val="lightGray"/>
              </w:rPr>
              <m:t>XT</m:t>
            </m:r>
          </m:e>
          <m:sub>
            <m:r>
              <w:rPr>
                <w:rFonts w:ascii="Cambria Math" w:eastAsiaTheme="minorEastAsia" w:hAnsi="Cambria Math"/>
                <w:highlight w:val="lightGray"/>
              </w:rPr>
              <m:t>iw</m:t>
            </m:r>
          </m:sub>
        </m:sSub>
      </m:oMath>
      <w:r w:rsidR="00653B39">
        <w:rPr>
          <w:rFonts w:eastAsiaTheme="minorEastAsia"/>
        </w:rPr>
        <w:t xml:space="preserve">  =Exportaciones totales de la región i, al mundo (w).</w:t>
      </w:r>
    </w:p>
    <w:p w:rsidR="00653B39" w:rsidRDefault="00653B39" w:rsidP="00653B39">
      <w:pPr>
        <w:rPr>
          <w:rFonts w:eastAsiaTheme="minorEastAsia"/>
        </w:rPr>
      </w:pPr>
    </w:p>
    <w:p w:rsidR="00653B39" w:rsidRDefault="00653B39" w:rsidP="0096159F">
      <w:r>
        <w:t>En el caso específico de aplicación para el proyecto, se hace el cálculo del indicador para las exportaciones de Santander en el mercado de Estados Unidos, para ello se toman los datos de la siguiente manera:</w:t>
      </w:r>
    </w:p>
    <w:p w:rsidR="00653B39" w:rsidRDefault="00653B39" w:rsidP="00653B39"/>
    <w:p w:rsidR="00653B39" w:rsidRPr="00307B25" w:rsidRDefault="00650550" w:rsidP="00653B39">
      <w:pPr>
        <w:rPr>
          <w:rFonts w:eastAsiaTheme="minorEastAsia"/>
        </w:rPr>
      </w:pPr>
      <m:oMath>
        <m:sSubSup>
          <m:sSubSupPr>
            <m:ctrlPr>
              <w:rPr>
                <w:rFonts w:ascii="Cambria Math" w:eastAsiaTheme="minorEastAsia" w:hAnsi="Cambria Math"/>
                <w:i/>
                <w:highlight w:val="lightGray"/>
              </w:rPr>
            </m:ctrlPr>
          </m:sSubSupPr>
          <m:e>
            <m:r>
              <w:rPr>
                <w:rFonts w:ascii="Cambria Math" w:eastAsiaTheme="minorEastAsia" w:hAnsi="Cambria Math"/>
                <w:highlight w:val="lightGray"/>
              </w:rPr>
              <m:t>X</m:t>
            </m:r>
          </m:e>
          <m:sub>
            <m:r>
              <w:rPr>
                <w:rFonts w:ascii="Cambria Math" w:eastAsiaTheme="minorEastAsia" w:hAnsi="Cambria Math"/>
                <w:highlight w:val="lightGray"/>
              </w:rPr>
              <m:t>ij</m:t>
            </m:r>
          </m:sub>
          <m:sup>
            <m:r>
              <w:rPr>
                <w:rFonts w:ascii="Cambria Math" w:eastAsiaTheme="minorEastAsia" w:hAnsi="Cambria Math"/>
                <w:highlight w:val="lightGray"/>
              </w:rPr>
              <m:t>k</m:t>
            </m:r>
          </m:sup>
        </m:sSubSup>
      </m:oMath>
      <w:r w:rsidR="00653B39">
        <w:rPr>
          <w:rFonts w:eastAsiaTheme="minorEastAsia"/>
        </w:rPr>
        <w:t xml:space="preserve">  = Exportaciones del capítulo k realizadas por Santander  a Estados Unidos.</w:t>
      </w:r>
    </w:p>
    <w:p w:rsidR="00653B39" w:rsidRDefault="00653B39" w:rsidP="00653B39">
      <w:pPr>
        <w:rPr>
          <w:rFonts w:eastAsiaTheme="minorEastAsia"/>
        </w:rPr>
      </w:pPr>
    </w:p>
    <w:p w:rsidR="00653B39" w:rsidRDefault="00650550" w:rsidP="00653B39">
      <w:pPr>
        <w:rPr>
          <w:rFonts w:eastAsiaTheme="minorEastAsia"/>
        </w:rPr>
      </w:pPr>
      <m:oMath>
        <m:sSub>
          <m:sSubPr>
            <m:ctrlPr>
              <w:rPr>
                <w:rFonts w:ascii="Cambria Math" w:eastAsiaTheme="minorEastAsia" w:hAnsi="Cambria Math"/>
                <w:i/>
                <w:highlight w:val="lightGray"/>
              </w:rPr>
            </m:ctrlPr>
          </m:sSubPr>
          <m:e>
            <m:r>
              <w:rPr>
                <w:rFonts w:ascii="Cambria Math" w:eastAsiaTheme="minorEastAsia" w:hAnsi="Cambria Math"/>
                <w:highlight w:val="lightGray"/>
              </w:rPr>
              <m:t>XT</m:t>
            </m:r>
          </m:e>
          <m:sub>
            <m:r>
              <w:rPr>
                <w:rFonts w:ascii="Cambria Math" w:eastAsiaTheme="minorEastAsia" w:hAnsi="Cambria Math"/>
                <w:highlight w:val="lightGray"/>
              </w:rPr>
              <m:t>ij</m:t>
            </m:r>
          </m:sub>
        </m:sSub>
      </m:oMath>
      <w:r w:rsidR="00653B39">
        <w:rPr>
          <w:rFonts w:eastAsiaTheme="minorEastAsia"/>
        </w:rPr>
        <w:t xml:space="preserve"> =Exportaciones totales de Santander a Estados Unidos</w:t>
      </w:r>
    </w:p>
    <w:p w:rsidR="00653B39" w:rsidRDefault="00653B39" w:rsidP="00653B39">
      <w:pPr>
        <w:rPr>
          <w:rFonts w:eastAsiaTheme="minorEastAsia"/>
        </w:rPr>
      </w:pPr>
    </w:p>
    <w:p w:rsidR="00653B39" w:rsidRDefault="00650550" w:rsidP="00653B39">
      <w:pPr>
        <w:rPr>
          <w:rFonts w:eastAsiaTheme="minorEastAsia"/>
        </w:rPr>
      </w:pPr>
      <m:oMath>
        <m:sSubSup>
          <m:sSubSupPr>
            <m:ctrlPr>
              <w:rPr>
                <w:rFonts w:ascii="Cambria Math" w:eastAsiaTheme="minorEastAsia" w:hAnsi="Cambria Math"/>
                <w:i/>
                <w:highlight w:val="lightGray"/>
              </w:rPr>
            </m:ctrlPr>
          </m:sSubSupPr>
          <m:e>
            <m:r>
              <w:rPr>
                <w:rFonts w:ascii="Cambria Math" w:eastAsiaTheme="minorEastAsia" w:hAnsi="Cambria Math"/>
                <w:highlight w:val="lightGray"/>
              </w:rPr>
              <m:t>X</m:t>
            </m:r>
          </m:e>
          <m:sub>
            <m:r>
              <w:rPr>
                <w:rFonts w:ascii="Cambria Math" w:eastAsiaTheme="minorEastAsia" w:hAnsi="Cambria Math"/>
                <w:highlight w:val="lightGray"/>
              </w:rPr>
              <m:t>iw</m:t>
            </m:r>
          </m:sub>
          <m:sup>
            <m:r>
              <w:rPr>
                <w:rFonts w:ascii="Cambria Math" w:eastAsiaTheme="minorEastAsia" w:hAnsi="Cambria Math"/>
                <w:highlight w:val="lightGray"/>
              </w:rPr>
              <m:t>k</m:t>
            </m:r>
          </m:sup>
        </m:sSubSup>
      </m:oMath>
      <w:r w:rsidR="00653B39">
        <w:rPr>
          <w:rFonts w:eastAsiaTheme="minorEastAsia"/>
        </w:rPr>
        <w:t xml:space="preserve">  =Exportaciones del capítulo k de Santander al mundo</w:t>
      </w:r>
    </w:p>
    <w:p w:rsidR="00653B39" w:rsidRDefault="00653B39" w:rsidP="00653B39">
      <w:pPr>
        <w:rPr>
          <w:rFonts w:eastAsiaTheme="minorEastAsia"/>
        </w:rPr>
      </w:pPr>
    </w:p>
    <w:p w:rsidR="00653B39" w:rsidRDefault="00650550" w:rsidP="00653B39">
      <w:pPr>
        <w:rPr>
          <w:rFonts w:eastAsiaTheme="minorEastAsia"/>
        </w:rPr>
      </w:pPr>
      <m:oMath>
        <m:sSub>
          <m:sSubPr>
            <m:ctrlPr>
              <w:rPr>
                <w:rFonts w:ascii="Cambria Math" w:eastAsiaTheme="minorEastAsia" w:hAnsi="Cambria Math"/>
                <w:i/>
                <w:highlight w:val="lightGray"/>
              </w:rPr>
            </m:ctrlPr>
          </m:sSubPr>
          <m:e>
            <m:r>
              <w:rPr>
                <w:rFonts w:ascii="Cambria Math" w:eastAsiaTheme="minorEastAsia" w:hAnsi="Cambria Math"/>
                <w:highlight w:val="lightGray"/>
              </w:rPr>
              <m:t>XT</m:t>
            </m:r>
          </m:e>
          <m:sub>
            <m:r>
              <w:rPr>
                <w:rFonts w:ascii="Cambria Math" w:eastAsiaTheme="minorEastAsia" w:hAnsi="Cambria Math"/>
                <w:highlight w:val="lightGray"/>
              </w:rPr>
              <m:t>iw</m:t>
            </m:r>
          </m:sub>
        </m:sSub>
      </m:oMath>
      <w:r w:rsidR="00653B39">
        <w:rPr>
          <w:rFonts w:eastAsiaTheme="minorEastAsia"/>
        </w:rPr>
        <w:t xml:space="preserve">  =Exportaciones totales de Santander al mundo</w:t>
      </w:r>
    </w:p>
    <w:p w:rsidR="00653B39" w:rsidRDefault="00653B39" w:rsidP="00653B39"/>
    <w:p w:rsidR="00653B39" w:rsidRDefault="00653B39" w:rsidP="0096159F">
      <w:r>
        <w:t>Para la interpretación del indicador se sigue la siguiente escala de acuerdo a lo propuesto por Duran y Alvarez (2008):</w:t>
      </w:r>
    </w:p>
    <w:p w:rsidR="00653B39" w:rsidRDefault="00653B39" w:rsidP="00653B39"/>
    <w:p w:rsidR="00653B39" w:rsidRDefault="00653B39" w:rsidP="00653B39">
      <w:pPr>
        <w:pStyle w:val="Prrafodelista"/>
        <w:numPr>
          <w:ilvl w:val="0"/>
          <w:numId w:val="16"/>
        </w:numPr>
      </w:pPr>
      <w:r>
        <w:t>Mayor de 0,33: Existe ventaja para la región</w:t>
      </w:r>
    </w:p>
    <w:p w:rsidR="00653B39" w:rsidRDefault="00653B39" w:rsidP="00653B39">
      <w:pPr>
        <w:pStyle w:val="Prrafodelista"/>
        <w:numPr>
          <w:ilvl w:val="0"/>
          <w:numId w:val="16"/>
        </w:numPr>
      </w:pPr>
      <w:r>
        <w:t>Menor de  -0,33: Existe desventaja para la región.</w:t>
      </w:r>
    </w:p>
    <w:p w:rsidR="00653B39" w:rsidRDefault="00653B39" w:rsidP="00653B39">
      <w:pPr>
        <w:pStyle w:val="Prrafodelista"/>
        <w:numPr>
          <w:ilvl w:val="0"/>
          <w:numId w:val="16"/>
        </w:numPr>
      </w:pPr>
      <w:r>
        <w:t>Entre -0,33 y 0,33: No se evidencia ventaja ni desventaja.</w:t>
      </w:r>
    </w:p>
    <w:p w:rsidR="00653B39" w:rsidRPr="00307B25" w:rsidRDefault="00653B39" w:rsidP="00653B39"/>
    <w:p w:rsidR="00653B39" w:rsidRDefault="00653B39" w:rsidP="0096159F">
      <w:r>
        <w:t>Para la homogeneidad de los datos, se toman, tanto las exportaciones como las importaciones del Sistema Estadístico de Comercio Exterior Colombiano, de la Dian.  Para las exportaciones se toman valores Fob (en puerto de origen) y para las importaciones se toman valores CIF (en puerto de destino).</w:t>
      </w:r>
    </w:p>
    <w:p w:rsidR="00653B39" w:rsidRDefault="00653B39" w:rsidP="00653B39"/>
    <w:p w:rsidR="00653B39" w:rsidRPr="003B1960" w:rsidRDefault="0096159F" w:rsidP="0096159F">
      <w:r>
        <w:rPr>
          <w:rFonts w:eastAsia="Times New Roman"/>
          <w:color w:val="000000"/>
          <w:lang w:eastAsia="es-CO"/>
        </w:rPr>
        <w:t>Tabla 8</w:t>
      </w:r>
      <w:r w:rsidR="00653B39">
        <w:rPr>
          <w:rFonts w:eastAsia="Times New Roman"/>
          <w:color w:val="000000"/>
          <w:lang w:eastAsia="es-CO"/>
        </w:rPr>
        <w:t>.</w:t>
      </w:r>
      <w:r w:rsidR="00653B39" w:rsidRPr="003B1960">
        <w:rPr>
          <w:rFonts w:eastAsia="Times New Roman"/>
          <w:color w:val="000000"/>
          <w:lang w:eastAsia="es-CO"/>
        </w:rPr>
        <w:t xml:space="preserve"> </w:t>
      </w:r>
      <w:r w:rsidR="00653B39">
        <w:rPr>
          <w:rFonts w:eastAsia="Times New Roman"/>
          <w:color w:val="000000"/>
          <w:lang w:eastAsia="es-CO"/>
        </w:rPr>
        <w:t>Indice d</w:t>
      </w:r>
      <w:r w:rsidR="00653B39" w:rsidRPr="003B1960">
        <w:rPr>
          <w:rFonts w:eastAsia="Times New Roman"/>
          <w:color w:val="000000"/>
          <w:lang w:eastAsia="es-CO"/>
        </w:rPr>
        <w:t xml:space="preserve">e Balassa </w:t>
      </w:r>
      <w:r w:rsidR="00653B39">
        <w:rPr>
          <w:rFonts w:eastAsia="Times New Roman"/>
          <w:color w:val="000000"/>
          <w:lang w:eastAsia="es-CO"/>
        </w:rPr>
        <w:t>de</w:t>
      </w:r>
      <w:r w:rsidR="00653B39" w:rsidRPr="003B1960">
        <w:rPr>
          <w:rFonts w:eastAsia="Times New Roman"/>
          <w:color w:val="000000"/>
          <w:lang w:eastAsia="es-CO"/>
        </w:rPr>
        <w:t xml:space="preserve"> </w:t>
      </w:r>
      <w:r w:rsidR="00653B39">
        <w:rPr>
          <w:rFonts w:eastAsia="Times New Roman"/>
          <w:color w:val="000000"/>
          <w:lang w:eastAsia="es-CO"/>
        </w:rPr>
        <w:t>s</w:t>
      </w:r>
      <w:r w:rsidR="00653B39" w:rsidRPr="003B1960">
        <w:rPr>
          <w:rFonts w:eastAsia="Times New Roman"/>
          <w:color w:val="000000"/>
          <w:lang w:eastAsia="es-CO"/>
        </w:rPr>
        <w:t xml:space="preserve">ectores </w:t>
      </w:r>
      <w:r w:rsidR="00653B39">
        <w:rPr>
          <w:rFonts w:eastAsia="Times New Roman"/>
          <w:color w:val="000000"/>
          <w:lang w:eastAsia="es-CO"/>
        </w:rPr>
        <w:t>d</w:t>
      </w:r>
      <w:r w:rsidR="00653B39" w:rsidRPr="003B1960">
        <w:rPr>
          <w:rFonts w:eastAsia="Times New Roman"/>
          <w:color w:val="000000"/>
          <w:lang w:eastAsia="es-CO"/>
        </w:rPr>
        <w:t xml:space="preserve">e Santander en el mercado de Estados Unidos </w:t>
      </w:r>
      <m:oMath>
        <m:sSubSup>
          <m:sSubSupPr>
            <m:ctrlPr>
              <w:rPr>
                <w:rFonts w:ascii="Cambria Math" w:hAnsi="Cambria Math"/>
                <w:i/>
                <w:highlight w:val="lightGray"/>
              </w:rPr>
            </m:ctrlPr>
          </m:sSubSupPr>
          <m:e>
            <m:r>
              <w:rPr>
                <w:rFonts w:ascii="Cambria Math" w:hAnsi="Cambria Math"/>
                <w:highlight w:val="lightGray"/>
              </w:rPr>
              <m:t>IB</m:t>
            </m:r>
          </m:e>
          <m:sub>
            <m:r>
              <w:rPr>
                <w:rFonts w:ascii="Cambria Math" w:hAnsi="Cambria Math"/>
                <w:highlight w:val="lightGray"/>
              </w:rPr>
              <m:t>ij</m:t>
            </m:r>
          </m:sub>
          <m:sup>
            <m:r>
              <w:rPr>
                <w:rFonts w:ascii="Cambria Math" w:hAnsi="Cambria Math"/>
                <w:highlight w:val="lightGray"/>
              </w:rPr>
              <m:t>k</m:t>
            </m:r>
          </m:sup>
        </m:sSubSup>
      </m:oMath>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20"/>
        <w:gridCol w:w="746"/>
        <w:gridCol w:w="779"/>
        <w:gridCol w:w="779"/>
        <w:gridCol w:w="779"/>
        <w:gridCol w:w="903"/>
        <w:gridCol w:w="709"/>
        <w:gridCol w:w="3663"/>
      </w:tblGrid>
      <w:tr w:rsidR="00653B39" w:rsidRPr="004D2DD7" w:rsidTr="00653B39">
        <w:trPr>
          <w:trHeight w:val="855"/>
        </w:trPr>
        <w:tc>
          <w:tcPr>
            <w:tcW w:w="345" w:type="pct"/>
            <w:shd w:val="clear" w:color="auto" w:fill="auto"/>
            <w:noWrap/>
            <w:vAlign w:val="bottom"/>
            <w:hideMark/>
          </w:tcPr>
          <w:p w:rsidR="00653B39" w:rsidRPr="004D2DD7" w:rsidRDefault="00653B39" w:rsidP="00653B39">
            <w:pPr>
              <w:rPr>
                <w:rFonts w:eastAsia="Times New Roman"/>
                <w:b/>
                <w:color w:val="000000"/>
                <w:sz w:val="20"/>
                <w:szCs w:val="20"/>
                <w:lang w:eastAsia="es-CO"/>
              </w:rPr>
            </w:pPr>
            <w:r w:rsidRPr="004D2DD7">
              <w:rPr>
                <w:rFonts w:eastAsia="Times New Roman"/>
                <w:b/>
                <w:color w:val="000000"/>
                <w:sz w:val="20"/>
                <w:szCs w:val="20"/>
                <w:lang w:eastAsia="es-CO"/>
              </w:rPr>
              <w:t> CAP</w:t>
            </w:r>
          </w:p>
        </w:tc>
        <w:tc>
          <w:tcPr>
            <w:tcW w:w="415"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2006</w:t>
            </w:r>
          </w:p>
        </w:tc>
        <w:tc>
          <w:tcPr>
            <w:tcW w:w="434"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2007</w:t>
            </w:r>
          </w:p>
        </w:tc>
        <w:tc>
          <w:tcPr>
            <w:tcW w:w="434"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2008</w:t>
            </w:r>
          </w:p>
        </w:tc>
        <w:tc>
          <w:tcPr>
            <w:tcW w:w="434"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2009</w:t>
            </w:r>
          </w:p>
        </w:tc>
        <w:tc>
          <w:tcPr>
            <w:tcW w:w="503"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2010</w:t>
            </w:r>
          </w:p>
        </w:tc>
        <w:tc>
          <w:tcPr>
            <w:tcW w:w="395"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2011</w:t>
            </w:r>
          </w:p>
        </w:tc>
        <w:tc>
          <w:tcPr>
            <w:tcW w:w="2040" w:type="pct"/>
            <w:shd w:val="clear" w:color="auto" w:fill="auto"/>
            <w:vAlign w:val="bottom"/>
            <w:hideMark/>
          </w:tcPr>
          <w:p w:rsidR="00653B39" w:rsidRPr="004D2DD7" w:rsidRDefault="00653B39" w:rsidP="00653B39">
            <w:pPr>
              <w:rPr>
                <w:rFonts w:eastAsia="Times New Roman"/>
                <w:b/>
                <w:bCs/>
                <w:color w:val="000000"/>
                <w:sz w:val="20"/>
                <w:szCs w:val="20"/>
                <w:lang w:eastAsia="es-CO"/>
              </w:rPr>
            </w:pPr>
            <w:r w:rsidRPr="004D2DD7">
              <w:rPr>
                <w:rFonts w:eastAsia="Times New Roman"/>
                <w:b/>
                <w:bCs/>
                <w:color w:val="000000"/>
                <w:sz w:val="20"/>
                <w:szCs w:val="20"/>
                <w:lang w:eastAsia="es-CO"/>
              </w:rPr>
              <w:t>Valoración competitiva de Santander en el mercado de Estados Unidos</w:t>
            </w:r>
          </w:p>
        </w:tc>
      </w:tr>
      <w:tr w:rsidR="00653B39" w:rsidRPr="004D2DD7" w:rsidTr="00653B39">
        <w:trPr>
          <w:trHeight w:val="300"/>
        </w:trPr>
        <w:tc>
          <w:tcPr>
            <w:tcW w:w="345"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27</w:t>
            </w:r>
          </w:p>
        </w:tc>
        <w:tc>
          <w:tcPr>
            <w:tcW w:w="415" w:type="pct"/>
            <w:shd w:val="clear" w:color="auto" w:fill="auto"/>
            <w:noWrap/>
            <w:vAlign w:val="bottom"/>
          </w:tcPr>
          <w:p w:rsidR="00653B39" w:rsidRPr="00E87B8E" w:rsidRDefault="00653B39" w:rsidP="00653B39">
            <w:pPr>
              <w:jc w:val="right"/>
              <w:rPr>
                <w:sz w:val="20"/>
                <w:szCs w:val="20"/>
              </w:rPr>
            </w:pPr>
            <w:r w:rsidRPr="00E87B8E">
              <w:rPr>
                <w:sz w:val="20"/>
                <w:szCs w:val="20"/>
              </w:rPr>
              <w:t>0,07</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0,00</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2,83</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2,59</w:t>
            </w:r>
          </w:p>
        </w:tc>
        <w:tc>
          <w:tcPr>
            <w:tcW w:w="503" w:type="pct"/>
            <w:shd w:val="clear" w:color="auto" w:fill="auto"/>
            <w:noWrap/>
            <w:vAlign w:val="bottom"/>
          </w:tcPr>
          <w:p w:rsidR="00653B39" w:rsidRPr="00E87B8E" w:rsidRDefault="00653B39" w:rsidP="00653B39">
            <w:pPr>
              <w:jc w:val="right"/>
              <w:rPr>
                <w:sz w:val="20"/>
                <w:szCs w:val="20"/>
              </w:rPr>
            </w:pPr>
            <w:r w:rsidRPr="00E87B8E">
              <w:rPr>
                <w:sz w:val="20"/>
                <w:szCs w:val="20"/>
              </w:rPr>
              <w:t>1,21</w:t>
            </w:r>
          </w:p>
        </w:tc>
        <w:tc>
          <w:tcPr>
            <w:tcW w:w="395" w:type="pct"/>
            <w:shd w:val="clear" w:color="auto" w:fill="auto"/>
            <w:noWrap/>
            <w:vAlign w:val="bottom"/>
          </w:tcPr>
          <w:p w:rsidR="00653B39" w:rsidRPr="00E87B8E" w:rsidRDefault="00653B39" w:rsidP="00653B39">
            <w:pPr>
              <w:jc w:val="right"/>
              <w:rPr>
                <w:sz w:val="20"/>
                <w:szCs w:val="20"/>
              </w:rPr>
            </w:pPr>
            <w:r w:rsidRPr="00E87B8E">
              <w:rPr>
                <w:sz w:val="20"/>
                <w:szCs w:val="20"/>
              </w:rPr>
              <w:t>1,06</w:t>
            </w:r>
          </w:p>
        </w:tc>
        <w:tc>
          <w:tcPr>
            <w:tcW w:w="2040" w:type="pct"/>
            <w:shd w:val="clear" w:color="auto" w:fill="auto"/>
            <w:noWrap/>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 xml:space="preserve">Existe ventaja </w:t>
            </w:r>
            <w:r>
              <w:rPr>
                <w:rFonts w:eastAsia="Times New Roman"/>
                <w:sz w:val="18"/>
                <w:szCs w:val="18"/>
                <w:lang w:eastAsia="es-CO"/>
              </w:rPr>
              <w:t xml:space="preserve">del sector </w:t>
            </w:r>
            <w:r w:rsidRPr="00E87B8E">
              <w:rPr>
                <w:rFonts w:eastAsia="Times New Roman"/>
                <w:sz w:val="18"/>
                <w:szCs w:val="18"/>
                <w:lang w:eastAsia="es-CO"/>
              </w:rPr>
              <w:t>en las exportaciones del sector a Estados Unidos.</w:t>
            </w:r>
          </w:p>
        </w:tc>
      </w:tr>
      <w:tr w:rsidR="00653B39" w:rsidRPr="004D2DD7" w:rsidTr="00653B39">
        <w:trPr>
          <w:trHeight w:val="300"/>
        </w:trPr>
        <w:tc>
          <w:tcPr>
            <w:tcW w:w="345"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9</w:t>
            </w:r>
          </w:p>
        </w:tc>
        <w:tc>
          <w:tcPr>
            <w:tcW w:w="415" w:type="pct"/>
            <w:shd w:val="clear" w:color="auto" w:fill="auto"/>
            <w:noWrap/>
            <w:vAlign w:val="bottom"/>
          </w:tcPr>
          <w:p w:rsidR="00653B39" w:rsidRPr="00E87B8E" w:rsidRDefault="00653B39" w:rsidP="00653B39">
            <w:pPr>
              <w:jc w:val="right"/>
              <w:rPr>
                <w:bCs/>
                <w:sz w:val="20"/>
                <w:szCs w:val="20"/>
              </w:rPr>
            </w:pPr>
            <w:r w:rsidRPr="00E87B8E">
              <w:rPr>
                <w:bCs/>
                <w:sz w:val="20"/>
                <w:szCs w:val="20"/>
              </w:rPr>
              <w:t>1,69</w:t>
            </w:r>
          </w:p>
        </w:tc>
        <w:tc>
          <w:tcPr>
            <w:tcW w:w="434" w:type="pct"/>
            <w:shd w:val="clear" w:color="auto" w:fill="auto"/>
            <w:noWrap/>
            <w:vAlign w:val="bottom"/>
          </w:tcPr>
          <w:p w:rsidR="00653B39" w:rsidRPr="00E87B8E" w:rsidRDefault="00653B39" w:rsidP="00653B39">
            <w:pPr>
              <w:jc w:val="right"/>
              <w:rPr>
                <w:bCs/>
                <w:sz w:val="20"/>
                <w:szCs w:val="20"/>
              </w:rPr>
            </w:pPr>
            <w:r w:rsidRPr="00E87B8E">
              <w:rPr>
                <w:bCs/>
                <w:sz w:val="20"/>
                <w:szCs w:val="20"/>
              </w:rPr>
              <w:t>2,51</w:t>
            </w:r>
          </w:p>
        </w:tc>
        <w:tc>
          <w:tcPr>
            <w:tcW w:w="434" w:type="pct"/>
            <w:shd w:val="clear" w:color="auto" w:fill="auto"/>
            <w:noWrap/>
            <w:vAlign w:val="bottom"/>
          </w:tcPr>
          <w:p w:rsidR="00653B39" w:rsidRPr="00E87B8E" w:rsidRDefault="00653B39" w:rsidP="00653B39">
            <w:pPr>
              <w:jc w:val="right"/>
              <w:rPr>
                <w:bCs/>
                <w:sz w:val="20"/>
                <w:szCs w:val="20"/>
              </w:rPr>
            </w:pPr>
            <w:r w:rsidRPr="00E87B8E">
              <w:rPr>
                <w:bCs/>
                <w:sz w:val="20"/>
                <w:szCs w:val="20"/>
              </w:rPr>
              <w:t>2,95</w:t>
            </w:r>
          </w:p>
        </w:tc>
        <w:tc>
          <w:tcPr>
            <w:tcW w:w="434" w:type="pct"/>
            <w:shd w:val="clear" w:color="auto" w:fill="auto"/>
            <w:noWrap/>
            <w:vAlign w:val="bottom"/>
          </w:tcPr>
          <w:p w:rsidR="00653B39" w:rsidRPr="00E87B8E" w:rsidRDefault="00653B39" w:rsidP="00653B39">
            <w:pPr>
              <w:jc w:val="right"/>
              <w:rPr>
                <w:bCs/>
                <w:sz w:val="20"/>
                <w:szCs w:val="20"/>
              </w:rPr>
            </w:pPr>
            <w:r w:rsidRPr="00E87B8E">
              <w:rPr>
                <w:bCs/>
                <w:sz w:val="20"/>
                <w:szCs w:val="20"/>
              </w:rPr>
              <w:t>2,22</w:t>
            </w:r>
          </w:p>
        </w:tc>
        <w:tc>
          <w:tcPr>
            <w:tcW w:w="503" w:type="pct"/>
            <w:shd w:val="clear" w:color="auto" w:fill="auto"/>
            <w:noWrap/>
            <w:vAlign w:val="bottom"/>
          </w:tcPr>
          <w:p w:rsidR="00653B39" w:rsidRPr="00E87B8E" w:rsidRDefault="00653B39" w:rsidP="00653B39">
            <w:pPr>
              <w:jc w:val="right"/>
              <w:rPr>
                <w:bCs/>
                <w:sz w:val="20"/>
                <w:szCs w:val="20"/>
              </w:rPr>
            </w:pPr>
            <w:r w:rsidRPr="00E87B8E">
              <w:rPr>
                <w:bCs/>
                <w:sz w:val="20"/>
                <w:szCs w:val="20"/>
              </w:rPr>
              <w:t>1,06</w:t>
            </w:r>
          </w:p>
        </w:tc>
        <w:tc>
          <w:tcPr>
            <w:tcW w:w="395" w:type="pct"/>
            <w:shd w:val="clear" w:color="auto" w:fill="auto"/>
            <w:noWrap/>
            <w:vAlign w:val="bottom"/>
          </w:tcPr>
          <w:p w:rsidR="00653B39" w:rsidRPr="00E87B8E" w:rsidRDefault="00653B39" w:rsidP="00653B39">
            <w:pPr>
              <w:jc w:val="right"/>
              <w:rPr>
                <w:bCs/>
                <w:sz w:val="20"/>
                <w:szCs w:val="20"/>
              </w:rPr>
            </w:pPr>
            <w:r w:rsidRPr="00E87B8E">
              <w:rPr>
                <w:bCs/>
                <w:sz w:val="20"/>
                <w:szCs w:val="20"/>
              </w:rPr>
              <w:t>1,29</w:t>
            </w:r>
          </w:p>
        </w:tc>
        <w:tc>
          <w:tcPr>
            <w:tcW w:w="2040" w:type="pct"/>
            <w:shd w:val="clear" w:color="auto" w:fill="auto"/>
            <w:noWrap/>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Existe ventaja del sector en las exportaciones a Estados Unidos.</w:t>
            </w:r>
          </w:p>
        </w:tc>
      </w:tr>
      <w:tr w:rsidR="00653B39" w:rsidRPr="004D2DD7" w:rsidTr="00653B39">
        <w:trPr>
          <w:trHeight w:val="300"/>
        </w:trPr>
        <w:tc>
          <w:tcPr>
            <w:tcW w:w="345"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71</w:t>
            </w:r>
          </w:p>
        </w:tc>
        <w:tc>
          <w:tcPr>
            <w:tcW w:w="415" w:type="pct"/>
            <w:shd w:val="clear" w:color="auto" w:fill="auto"/>
            <w:noWrap/>
            <w:vAlign w:val="bottom"/>
          </w:tcPr>
          <w:p w:rsidR="00653B39" w:rsidRPr="00E87B8E" w:rsidRDefault="00653B39" w:rsidP="00653B39">
            <w:pPr>
              <w:jc w:val="right"/>
              <w:rPr>
                <w:sz w:val="20"/>
                <w:szCs w:val="20"/>
              </w:rPr>
            </w:pPr>
            <w:r w:rsidRPr="00E87B8E">
              <w:rPr>
                <w:sz w:val="20"/>
                <w:szCs w:val="20"/>
              </w:rPr>
              <w:t>0,84</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0,02</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0,02</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0,00</w:t>
            </w:r>
          </w:p>
        </w:tc>
        <w:tc>
          <w:tcPr>
            <w:tcW w:w="503" w:type="pct"/>
            <w:shd w:val="clear" w:color="auto" w:fill="auto"/>
            <w:noWrap/>
            <w:vAlign w:val="bottom"/>
          </w:tcPr>
          <w:p w:rsidR="00653B39" w:rsidRPr="00E87B8E" w:rsidRDefault="00653B39" w:rsidP="00653B39">
            <w:pPr>
              <w:jc w:val="right"/>
              <w:rPr>
                <w:sz w:val="20"/>
                <w:szCs w:val="20"/>
              </w:rPr>
            </w:pPr>
            <w:r w:rsidRPr="00E87B8E">
              <w:rPr>
                <w:sz w:val="20"/>
                <w:szCs w:val="20"/>
              </w:rPr>
              <w:t>0,00</w:t>
            </w:r>
          </w:p>
        </w:tc>
        <w:tc>
          <w:tcPr>
            <w:tcW w:w="395" w:type="pct"/>
            <w:shd w:val="clear" w:color="auto" w:fill="auto"/>
            <w:noWrap/>
            <w:vAlign w:val="bottom"/>
          </w:tcPr>
          <w:p w:rsidR="00653B39" w:rsidRPr="00E87B8E" w:rsidRDefault="00653B39" w:rsidP="00653B39">
            <w:pPr>
              <w:jc w:val="right"/>
              <w:rPr>
                <w:sz w:val="20"/>
                <w:szCs w:val="20"/>
              </w:rPr>
            </w:pPr>
            <w:r w:rsidRPr="00E87B8E">
              <w:rPr>
                <w:sz w:val="20"/>
                <w:szCs w:val="20"/>
              </w:rPr>
              <w:t>0,00</w:t>
            </w:r>
          </w:p>
        </w:tc>
        <w:tc>
          <w:tcPr>
            <w:tcW w:w="2040" w:type="pct"/>
            <w:shd w:val="clear" w:color="auto" w:fill="auto"/>
            <w:noWrap/>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 xml:space="preserve">No se presenta ventaja exportadora para el mercado de Estados Unidos.  </w:t>
            </w:r>
          </w:p>
        </w:tc>
      </w:tr>
      <w:tr w:rsidR="00653B39" w:rsidRPr="004D2DD7" w:rsidTr="00653B39">
        <w:trPr>
          <w:trHeight w:val="300"/>
        </w:trPr>
        <w:tc>
          <w:tcPr>
            <w:tcW w:w="345"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29</w:t>
            </w:r>
          </w:p>
        </w:tc>
        <w:tc>
          <w:tcPr>
            <w:tcW w:w="415" w:type="pct"/>
            <w:shd w:val="clear" w:color="auto" w:fill="auto"/>
            <w:noWrap/>
            <w:vAlign w:val="bottom"/>
          </w:tcPr>
          <w:p w:rsidR="00653B39" w:rsidRPr="00E87B8E" w:rsidRDefault="00653B39" w:rsidP="00653B39">
            <w:pPr>
              <w:jc w:val="right"/>
              <w:rPr>
                <w:sz w:val="20"/>
                <w:szCs w:val="20"/>
              </w:rPr>
            </w:pPr>
            <w:r w:rsidRPr="00E87B8E">
              <w:rPr>
                <w:sz w:val="20"/>
                <w:szCs w:val="20"/>
              </w:rPr>
              <w:t>0,00</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0,86</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3,86</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3,91</w:t>
            </w:r>
          </w:p>
        </w:tc>
        <w:tc>
          <w:tcPr>
            <w:tcW w:w="503" w:type="pct"/>
            <w:shd w:val="clear" w:color="auto" w:fill="auto"/>
            <w:noWrap/>
            <w:vAlign w:val="bottom"/>
          </w:tcPr>
          <w:p w:rsidR="00653B39" w:rsidRPr="00E87B8E" w:rsidRDefault="00653B39" w:rsidP="00653B39">
            <w:pPr>
              <w:jc w:val="right"/>
              <w:rPr>
                <w:sz w:val="20"/>
                <w:szCs w:val="20"/>
              </w:rPr>
            </w:pPr>
            <w:r w:rsidRPr="00E87B8E">
              <w:rPr>
                <w:sz w:val="20"/>
                <w:szCs w:val="20"/>
              </w:rPr>
              <w:t>2,67</w:t>
            </w:r>
          </w:p>
        </w:tc>
        <w:tc>
          <w:tcPr>
            <w:tcW w:w="395" w:type="pct"/>
            <w:shd w:val="clear" w:color="auto" w:fill="auto"/>
            <w:noWrap/>
            <w:vAlign w:val="bottom"/>
          </w:tcPr>
          <w:p w:rsidR="00653B39" w:rsidRPr="00E87B8E" w:rsidRDefault="00653B39" w:rsidP="00653B39">
            <w:pPr>
              <w:jc w:val="right"/>
              <w:rPr>
                <w:sz w:val="20"/>
                <w:szCs w:val="20"/>
              </w:rPr>
            </w:pPr>
            <w:r w:rsidRPr="00E87B8E">
              <w:rPr>
                <w:sz w:val="20"/>
                <w:szCs w:val="20"/>
              </w:rPr>
              <w:t>1,48</w:t>
            </w:r>
          </w:p>
        </w:tc>
        <w:tc>
          <w:tcPr>
            <w:tcW w:w="2040" w:type="pct"/>
            <w:shd w:val="clear" w:color="auto" w:fill="auto"/>
            <w:noWrap/>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Se ha ganado ventaja exportadora al mercado de Estados Unidos, especialmente a partir del 2008</w:t>
            </w:r>
            <w:r>
              <w:rPr>
                <w:rFonts w:eastAsia="Times New Roman"/>
                <w:sz w:val="18"/>
                <w:szCs w:val="18"/>
                <w:lang w:eastAsia="es-CO"/>
              </w:rPr>
              <w:t>.</w:t>
            </w:r>
          </w:p>
        </w:tc>
      </w:tr>
      <w:tr w:rsidR="00653B39" w:rsidRPr="004D2DD7" w:rsidTr="00653B39">
        <w:trPr>
          <w:trHeight w:val="300"/>
        </w:trPr>
        <w:tc>
          <w:tcPr>
            <w:tcW w:w="345"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87</w:t>
            </w:r>
          </w:p>
        </w:tc>
        <w:tc>
          <w:tcPr>
            <w:tcW w:w="415" w:type="pct"/>
            <w:shd w:val="clear" w:color="auto" w:fill="auto"/>
            <w:noWrap/>
            <w:vAlign w:val="bottom"/>
          </w:tcPr>
          <w:p w:rsidR="00653B39" w:rsidRPr="00E87B8E" w:rsidRDefault="00653B39" w:rsidP="00653B39">
            <w:pPr>
              <w:jc w:val="right"/>
              <w:rPr>
                <w:sz w:val="20"/>
                <w:szCs w:val="20"/>
              </w:rPr>
            </w:pPr>
            <w:r w:rsidRPr="00E87B8E">
              <w:rPr>
                <w:sz w:val="20"/>
                <w:szCs w:val="20"/>
              </w:rPr>
              <w:t>0,00</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0,00</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0,00</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0,00</w:t>
            </w:r>
          </w:p>
        </w:tc>
        <w:tc>
          <w:tcPr>
            <w:tcW w:w="503" w:type="pct"/>
            <w:shd w:val="clear" w:color="auto" w:fill="auto"/>
            <w:noWrap/>
            <w:vAlign w:val="bottom"/>
          </w:tcPr>
          <w:p w:rsidR="00653B39" w:rsidRPr="00E87B8E" w:rsidRDefault="00653B39" w:rsidP="00653B39">
            <w:pPr>
              <w:jc w:val="right"/>
              <w:rPr>
                <w:sz w:val="20"/>
                <w:szCs w:val="20"/>
              </w:rPr>
            </w:pPr>
            <w:r w:rsidRPr="00E87B8E">
              <w:rPr>
                <w:sz w:val="20"/>
                <w:szCs w:val="20"/>
              </w:rPr>
              <w:t>0,00</w:t>
            </w:r>
          </w:p>
        </w:tc>
        <w:tc>
          <w:tcPr>
            <w:tcW w:w="395" w:type="pct"/>
            <w:shd w:val="clear" w:color="auto" w:fill="auto"/>
            <w:noWrap/>
            <w:vAlign w:val="bottom"/>
          </w:tcPr>
          <w:p w:rsidR="00653B39" w:rsidRPr="00E87B8E" w:rsidRDefault="00653B39" w:rsidP="00653B39">
            <w:pPr>
              <w:jc w:val="right"/>
              <w:rPr>
                <w:sz w:val="20"/>
                <w:szCs w:val="20"/>
              </w:rPr>
            </w:pPr>
            <w:r w:rsidRPr="00E87B8E">
              <w:rPr>
                <w:sz w:val="20"/>
                <w:szCs w:val="20"/>
              </w:rPr>
              <w:t>0,15</w:t>
            </w:r>
          </w:p>
        </w:tc>
        <w:tc>
          <w:tcPr>
            <w:tcW w:w="2040" w:type="pct"/>
            <w:shd w:val="clear" w:color="auto" w:fill="auto"/>
            <w:noWrap/>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No se presenta ventaja exportador</w:t>
            </w:r>
            <w:r>
              <w:rPr>
                <w:rFonts w:eastAsia="Times New Roman"/>
                <w:sz w:val="18"/>
                <w:szCs w:val="18"/>
                <w:lang w:eastAsia="es-CO"/>
              </w:rPr>
              <w:t>a</w:t>
            </w:r>
            <w:r w:rsidRPr="00E87B8E">
              <w:rPr>
                <w:rFonts w:eastAsia="Times New Roman"/>
                <w:sz w:val="18"/>
                <w:szCs w:val="18"/>
                <w:lang w:eastAsia="es-CO"/>
              </w:rPr>
              <w:t xml:space="preserve"> al mercado de Estados Unidos</w:t>
            </w:r>
            <w:r>
              <w:rPr>
                <w:rFonts w:eastAsia="Times New Roman"/>
                <w:sz w:val="18"/>
                <w:szCs w:val="18"/>
                <w:lang w:eastAsia="es-CO"/>
              </w:rPr>
              <w:t>.</w:t>
            </w:r>
          </w:p>
        </w:tc>
      </w:tr>
      <w:tr w:rsidR="00653B39" w:rsidRPr="004D2DD7" w:rsidTr="00653B39">
        <w:trPr>
          <w:trHeight w:val="300"/>
        </w:trPr>
        <w:tc>
          <w:tcPr>
            <w:tcW w:w="345"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15</w:t>
            </w:r>
          </w:p>
        </w:tc>
        <w:tc>
          <w:tcPr>
            <w:tcW w:w="415" w:type="pct"/>
            <w:shd w:val="clear" w:color="auto" w:fill="auto"/>
            <w:noWrap/>
            <w:vAlign w:val="bottom"/>
          </w:tcPr>
          <w:p w:rsidR="00653B39" w:rsidRPr="00E87B8E" w:rsidRDefault="00653B39" w:rsidP="00653B39">
            <w:pPr>
              <w:jc w:val="right"/>
              <w:rPr>
                <w:sz w:val="20"/>
                <w:szCs w:val="20"/>
              </w:rPr>
            </w:pPr>
            <w:r w:rsidRPr="00E87B8E">
              <w:rPr>
                <w:sz w:val="20"/>
                <w:szCs w:val="20"/>
              </w:rPr>
              <w:t>0,24</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0,11</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0,00</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0,00</w:t>
            </w:r>
          </w:p>
        </w:tc>
        <w:tc>
          <w:tcPr>
            <w:tcW w:w="503" w:type="pct"/>
            <w:shd w:val="clear" w:color="auto" w:fill="auto"/>
            <w:noWrap/>
            <w:vAlign w:val="bottom"/>
          </w:tcPr>
          <w:p w:rsidR="00653B39" w:rsidRPr="00E87B8E" w:rsidRDefault="00653B39" w:rsidP="00653B39">
            <w:pPr>
              <w:jc w:val="right"/>
              <w:rPr>
                <w:sz w:val="20"/>
                <w:szCs w:val="20"/>
              </w:rPr>
            </w:pPr>
            <w:r w:rsidRPr="00E87B8E">
              <w:rPr>
                <w:sz w:val="20"/>
                <w:szCs w:val="20"/>
              </w:rPr>
              <w:t>0,00</w:t>
            </w:r>
          </w:p>
        </w:tc>
        <w:tc>
          <w:tcPr>
            <w:tcW w:w="395" w:type="pct"/>
            <w:shd w:val="clear" w:color="auto" w:fill="auto"/>
            <w:noWrap/>
            <w:vAlign w:val="bottom"/>
          </w:tcPr>
          <w:p w:rsidR="00653B39" w:rsidRPr="00E87B8E" w:rsidRDefault="00653B39" w:rsidP="00653B39">
            <w:pPr>
              <w:jc w:val="right"/>
              <w:rPr>
                <w:sz w:val="20"/>
                <w:szCs w:val="20"/>
              </w:rPr>
            </w:pPr>
            <w:r w:rsidRPr="00E87B8E">
              <w:rPr>
                <w:sz w:val="20"/>
                <w:szCs w:val="20"/>
              </w:rPr>
              <w:t>0,00</w:t>
            </w:r>
          </w:p>
        </w:tc>
        <w:tc>
          <w:tcPr>
            <w:tcW w:w="2040" w:type="pct"/>
            <w:shd w:val="clear" w:color="auto" w:fill="auto"/>
            <w:noWrap/>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No se presenta ventaja exportadora al mercado de Estados Unidos</w:t>
            </w:r>
            <w:r>
              <w:rPr>
                <w:rFonts w:eastAsia="Times New Roman"/>
                <w:sz w:val="18"/>
                <w:szCs w:val="18"/>
                <w:lang w:eastAsia="es-CO"/>
              </w:rPr>
              <w:t>.</w:t>
            </w:r>
          </w:p>
        </w:tc>
      </w:tr>
      <w:tr w:rsidR="00653B39" w:rsidRPr="004D2DD7" w:rsidTr="00653B39">
        <w:trPr>
          <w:trHeight w:val="300"/>
        </w:trPr>
        <w:tc>
          <w:tcPr>
            <w:tcW w:w="345"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84</w:t>
            </w:r>
          </w:p>
        </w:tc>
        <w:tc>
          <w:tcPr>
            <w:tcW w:w="415" w:type="pct"/>
            <w:shd w:val="clear" w:color="auto" w:fill="auto"/>
            <w:noWrap/>
            <w:vAlign w:val="bottom"/>
          </w:tcPr>
          <w:p w:rsidR="00653B39" w:rsidRPr="00E87B8E" w:rsidRDefault="00653B39" w:rsidP="00653B39">
            <w:pPr>
              <w:jc w:val="right"/>
              <w:rPr>
                <w:sz w:val="20"/>
                <w:szCs w:val="20"/>
              </w:rPr>
            </w:pPr>
            <w:r w:rsidRPr="00E87B8E">
              <w:rPr>
                <w:sz w:val="20"/>
                <w:szCs w:val="20"/>
              </w:rPr>
              <w:t>0,30</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0,27</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0,39</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0,28</w:t>
            </w:r>
          </w:p>
        </w:tc>
        <w:tc>
          <w:tcPr>
            <w:tcW w:w="503" w:type="pct"/>
            <w:shd w:val="clear" w:color="auto" w:fill="auto"/>
            <w:noWrap/>
            <w:vAlign w:val="bottom"/>
          </w:tcPr>
          <w:p w:rsidR="00653B39" w:rsidRPr="00E87B8E" w:rsidRDefault="00653B39" w:rsidP="00653B39">
            <w:pPr>
              <w:jc w:val="right"/>
              <w:rPr>
                <w:sz w:val="20"/>
                <w:szCs w:val="20"/>
              </w:rPr>
            </w:pPr>
            <w:r w:rsidRPr="00E87B8E">
              <w:rPr>
                <w:sz w:val="20"/>
                <w:szCs w:val="20"/>
              </w:rPr>
              <w:t>0,29</w:t>
            </w:r>
          </w:p>
        </w:tc>
        <w:tc>
          <w:tcPr>
            <w:tcW w:w="395" w:type="pct"/>
            <w:shd w:val="clear" w:color="auto" w:fill="auto"/>
            <w:noWrap/>
            <w:vAlign w:val="bottom"/>
          </w:tcPr>
          <w:p w:rsidR="00653B39" w:rsidRPr="00E87B8E" w:rsidRDefault="00653B39" w:rsidP="00653B39">
            <w:pPr>
              <w:jc w:val="right"/>
              <w:rPr>
                <w:sz w:val="20"/>
                <w:szCs w:val="20"/>
              </w:rPr>
            </w:pPr>
            <w:r w:rsidRPr="00E87B8E">
              <w:rPr>
                <w:sz w:val="20"/>
                <w:szCs w:val="20"/>
              </w:rPr>
              <w:t>0,13</w:t>
            </w:r>
          </w:p>
        </w:tc>
        <w:tc>
          <w:tcPr>
            <w:tcW w:w="2040" w:type="pct"/>
            <w:shd w:val="clear" w:color="auto" w:fill="auto"/>
            <w:noWrap/>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No se presenta ventaja exportadora al mercado de Estados Unidos</w:t>
            </w:r>
            <w:r>
              <w:rPr>
                <w:rFonts w:eastAsia="Times New Roman"/>
                <w:sz w:val="18"/>
                <w:szCs w:val="18"/>
                <w:lang w:eastAsia="es-CO"/>
              </w:rPr>
              <w:t>.</w:t>
            </w:r>
          </w:p>
        </w:tc>
      </w:tr>
      <w:tr w:rsidR="00653B39" w:rsidRPr="004D2DD7" w:rsidTr="00653B39">
        <w:trPr>
          <w:trHeight w:val="300"/>
        </w:trPr>
        <w:tc>
          <w:tcPr>
            <w:tcW w:w="345"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62</w:t>
            </w:r>
          </w:p>
        </w:tc>
        <w:tc>
          <w:tcPr>
            <w:tcW w:w="415" w:type="pct"/>
            <w:shd w:val="clear" w:color="auto" w:fill="auto"/>
            <w:noWrap/>
            <w:vAlign w:val="bottom"/>
          </w:tcPr>
          <w:p w:rsidR="00653B39" w:rsidRPr="00E87B8E" w:rsidRDefault="00653B39" w:rsidP="00653B39">
            <w:pPr>
              <w:jc w:val="right"/>
              <w:rPr>
                <w:sz w:val="20"/>
                <w:szCs w:val="20"/>
              </w:rPr>
            </w:pPr>
            <w:r w:rsidRPr="00E87B8E">
              <w:rPr>
                <w:sz w:val="20"/>
                <w:szCs w:val="20"/>
              </w:rPr>
              <w:t>2,35</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2,45</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3,06</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2,57</w:t>
            </w:r>
          </w:p>
        </w:tc>
        <w:tc>
          <w:tcPr>
            <w:tcW w:w="503" w:type="pct"/>
            <w:shd w:val="clear" w:color="auto" w:fill="auto"/>
            <w:noWrap/>
            <w:vAlign w:val="bottom"/>
          </w:tcPr>
          <w:p w:rsidR="00653B39" w:rsidRPr="00E87B8E" w:rsidRDefault="00653B39" w:rsidP="00653B39">
            <w:pPr>
              <w:jc w:val="right"/>
              <w:rPr>
                <w:sz w:val="20"/>
                <w:szCs w:val="20"/>
              </w:rPr>
            </w:pPr>
            <w:r w:rsidRPr="00E87B8E">
              <w:rPr>
                <w:sz w:val="20"/>
                <w:szCs w:val="20"/>
              </w:rPr>
              <w:t>1,15</w:t>
            </w:r>
          </w:p>
        </w:tc>
        <w:tc>
          <w:tcPr>
            <w:tcW w:w="395" w:type="pct"/>
            <w:shd w:val="clear" w:color="auto" w:fill="auto"/>
            <w:noWrap/>
            <w:vAlign w:val="bottom"/>
          </w:tcPr>
          <w:p w:rsidR="00653B39" w:rsidRPr="00E87B8E" w:rsidRDefault="00653B39" w:rsidP="00653B39">
            <w:pPr>
              <w:jc w:val="right"/>
              <w:rPr>
                <w:sz w:val="20"/>
                <w:szCs w:val="20"/>
              </w:rPr>
            </w:pPr>
            <w:r w:rsidRPr="00E87B8E">
              <w:rPr>
                <w:sz w:val="20"/>
                <w:szCs w:val="20"/>
              </w:rPr>
              <w:t>0,88</w:t>
            </w:r>
          </w:p>
        </w:tc>
        <w:tc>
          <w:tcPr>
            <w:tcW w:w="2040" w:type="pct"/>
            <w:shd w:val="clear" w:color="auto" w:fill="auto"/>
            <w:noWrap/>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Se presentó ventaja en las exportaciones a Estados Unidos, que disminuyó en el año 2011.</w:t>
            </w:r>
          </w:p>
        </w:tc>
      </w:tr>
      <w:tr w:rsidR="00653B39" w:rsidRPr="004D2DD7" w:rsidTr="00653B39">
        <w:trPr>
          <w:trHeight w:val="300"/>
        </w:trPr>
        <w:tc>
          <w:tcPr>
            <w:tcW w:w="345"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39</w:t>
            </w:r>
          </w:p>
        </w:tc>
        <w:tc>
          <w:tcPr>
            <w:tcW w:w="415" w:type="pct"/>
            <w:shd w:val="clear" w:color="auto" w:fill="auto"/>
            <w:noWrap/>
            <w:vAlign w:val="bottom"/>
          </w:tcPr>
          <w:p w:rsidR="00653B39" w:rsidRPr="00E87B8E" w:rsidRDefault="00653B39" w:rsidP="00653B39">
            <w:pPr>
              <w:jc w:val="right"/>
              <w:rPr>
                <w:sz w:val="20"/>
                <w:szCs w:val="20"/>
              </w:rPr>
            </w:pPr>
            <w:r w:rsidRPr="00E87B8E">
              <w:rPr>
                <w:sz w:val="20"/>
                <w:szCs w:val="20"/>
              </w:rPr>
              <w:t>0,11</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0,05</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0,54</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0,00</w:t>
            </w:r>
          </w:p>
        </w:tc>
        <w:tc>
          <w:tcPr>
            <w:tcW w:w="503" w:type="pct"/>
            <w:shd w:val="clear" w:color="auto" w:fill="auto"/>
            <w:noWrap/>
            <w:vAlign w:val="bottom"/>
          </w:tcPr>
          <w:p w:rsidR="00653B39" w:rsidRPr="00E87B8E" w:rsidRDefault="00653B39" w:rsidP="00653B39">
            <w:pPr>
              <w:jc w:val="right"/>
              <w:rPr>
                <w:sz w:val="20"/>
                <w:szCs w:val="20"/>
              </w:rPr>
            </w:pPr>
            <w:r w:rsidRPr="00E87B8E">
              <w:rPr>
                <w:sz w:val="20"/>
                <w:szCs w:val="20"/>
              </w:rPr>
              <w:t>0,01</w:t>
            </w:r>
          </w:p>
        </w:tc>
        <w:tc>
          <w:tcPr>
            <w:tcW w:w="395" w:type="pct"/>
            <w:shd w:val="clear" w:color="auto" w:fill="auto"/>
            <w:noWrap/>
            <w:vAlign w:val="bottom"/>
          </w:tcPr>
          <w:p w:rsidR="00653B39" w:rsidRPr="00E87B8E" w:rsidRDefault="00653B39" w:rsidP="00653B39">
            <w:pPr>
              <w:jc w:val="right"/>
              <w:rPr>
                <w:sz w:val="20"/>
                <w:szCs w:val="20"/>
              </w:rPr>
            </w:pPr>
            <w:r w:rsidRPr="00E87B8E">
              <w:rPr>
                <w:sz w:val="20"/>
                <w:szCs w:val="20"/>
              </w:rPr>
              <w:t>0,00</w:t>
            </w:r>
          </w:p>
        </w:tc>
        <w:tc>
          <w:tcPr>
            <w:tcW w:w="2040" w:type="pct"/>
            <w:shd w:val="clear" w:color="auto" w:fill="auto"/>
            <w:noWrap/>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 xml:space="preserve">No se presenta ventaja exportadora al mercado de Estados Unidos.  </w:t>
            </w:r>
          </w:p>
        </w:tc>
      </w:tr>
      <w:tr w:rsidR="00653B39" w:rsidRPr="004D2DD7" w:rsidTr="00653B39">
        <w:trPr>
          <w:trHeight w:val="300"/>
        </w:trPr>
        <w:tc>
          <w:tcPr>
            <w:tcW w:w="345"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64</w:t>
            </w:r>
          </w:p>
        </w:tc>
        <w:tc>
          <w:tcPr>
            <w:tcW w:w="415" w:type="pct"/>
            <w:shd w:val="clear" w:color="auto" w:fill="auto"/>
            <w:noWrap/>
            <w:vAlign w:val="bottom"/>
          </w:tcPr>
          <w:p w:rsidR="00653B39" w:rsidRPr="00E87B8E" w:rsidRDefault="00653B39" w:rsidP="00653B39">
            <w:pPr>
              <w:jc w:val="right"/>
              <w:rPr>
                <w:sz w:val="20"/>
                <w:szCs w:val="20"/>
              </w:rPr>
            </w:pPr>
            <w:r w:rsidRPr="00E87B8E">
              <w:rPr>
                <w:sz w:val="20"/>
                <w:szCs w:val="20"/>
              </w:rPr>
              <w:t>0,23</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0,20</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0,35</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0,20</w:t>
            </w:r>
          </w:p>
        </w:tc>
        <w:tc>
          <w:tcPr>
            <w:tcW w:w="503" w:type="pct"/>
            <w:shd w:val="clear" w:color="auto" w:fill="auto"/>
            <w:noWrap/>
            <w:vAlign w:val="bottom"/>
          </w:tcPr>
          <w:p w:rsidR="00653B39" w:rsidRPr="00E87B8E" w:rsidRDefault="00653B39" w:rsidP="00653B39">
            <w:pPr>
              <w:jc w:val="right"/>
              <w:rPr>
                <w:sz w:val="20"/>
                <w:szCs w:val="20"/>
              </w:rPr>
            </w:pPr>
            <w:r w:rsidRPr="00E87B8E">
              <w:rPr>
                <w:sz w:val="20"/>
                <w:szCs w:val="20"/>
              </w:rPr>
              <w:t>0,26</w:t>
            </w:r>
          </w:p>
        </w:tc>
        <w:tc>
          <w:tcPr>
            <w:tcW w:w="395" w:type="pct"/>
            <w:shd w:val="clear" w:color="auto" w:fill="auto"/>
            <w:noWrap/>
            <w:vAlign w:val="bottom"/>
          </w:tcPr>
          <w:p w:rsidR="00653B39" w:rsidRPr="00E87B8E" w:rsidRDefault="00653B39" w:rsidP="00653B39">
            <w:pPr>
              <w:jc w:val="right"/>
              <w:rPr>
                <w:sz w:val="20"/>
                <w:szCs w:val="20"/>
              </w:rPr>
            </w:pPr>
            <w:r w:rsidRPr="00E87B8E">
              <w:rPr>
                <w:sz w:val="20"/>
                <w:szCs w:val="20"/>
              </w:rPr>
              <w:t>0,12</w:t>
            </w:r>
          </w:p>
        </w:tc>
        <w:tc>
          <w:tcPr>
            <w:tcW w:w="2040" w:type="pct"/>
            <w:shd w:val="clear" w:color="auto" w:fill="auto"/>
            <w:noWrap/>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No se presenta ventaja exportadora al mercado de Estados Unidos</w:t>
            </w:r>
            <w:r>
              <w:rPr>
                <w:rFonts w:eastAsia="Times New Roman"/>
                <w:sz w:val="18"/>
                <w:szCs w:val="18"/>
                <w:lang w:eastAsia="es-CO"/>
              </w:rPr>
              <w:t>.</w:t>
            </w:r>
          </w:p>
        </w:tc>
      </w:tr>
      <w:tr w:rsidR="00653B39" w:rsidRPr="004D2DD7" w:rsidTr="00653B39">
        <w:trPr>
          <w:trHeight w:val="300"/>
        </w:trPr>
        <w:tc>
          <w:tcPr>
            <w:tcW w:w="345"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61</w:t>
            </w:r>
          </w:p>
        </w:tc>
        <w:tc>
          <w:tcPr>
            <w:tcW w:w="415" w:type="pct"/>
            <w:shd w:val="clear" w:color="auto" w:fill="auto"/>
            <w:noWrap/>
            <w:vAlign w:val="bottom"/>
          </w:tcPr>
          <w:p w:rsidR="00653B39" w:rsidRPr="00E87B8E" w:rsidRDefault="00653B39" w:rsidP="00653B39">
            <w:pPr>
              <w:jc w:val="right"/>
              <w:rPr>
                <w:sz w:val="20"/>
                <w:szCs w:val="20"/>
              </w:rPr>
            </w:pPr>
            <w:r w:rsidRPr="00E87B8E">
              <w:rPr>
                <w:sz w:val="20"/>
                <w:szCs w:val="20"/>
              </w:rPr>
              <w:t>0,56</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1,03</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0,60</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0,39</w:t>
            </w:r>
          </w:p>
        </w:tc>
        <w:tc>
          <w:tcPr>
            <w:tcW w:w="503" w:type="pct"/>
            <w:shd w:val="clear" w:color="auto" w:fill="auto"/>
            <w:noWrap/>
            <w:vAlign w:val="bottom"/>
          </w:tcPr>
          <w:p w:rsidR="00653B39" w:rsidRPr="00E87B8E" w:rsidRDefault="00653B39" w:rsidP="00653B39">
            <w:pPr>
              <w:jc w:val="right"/>
              <w:rPr>
                <w:sz w:val="20"/>
                <w:szCs w:val="20"/>
              </w:rPr>
            </w:pPr>
            <w:r w:rsidRPr="00E87B8E">
              <w:rPr>
                <w:sz w:val="20"/>
                <w:szCs w:val="20"/>
              </w:rPr>
              <w:t>0,36</w:t>
            </w:r>
          </w:p>
        </w:tc>
        <w:tc>
          <w:tcPr>
            <w:tcW w:w="395" w:type="pct"/>
            <w:shd w:val="clear" w:color="auto" w:fill="auto"/>
            <w:noWrap/>
            <w:vAlign w:val="bottom"/>
          </w:tcPr>
          <w:p w:rsidR="00653B39" w:rsidRPr="00E87B8E" w:rsidRDefault="00653B39" w:rsidP="00653B39">
            <w:pPr>
              <w:jc w:val="right"/>
              <w:rPr>
                <w:sz w:val="20"/>
                <w:szCs w:val="20"/>
              </w:rPr>
            </w:pPr>
            <w:r w:rsidRPr="00E87B8E">
              <w:rPr>
                <w:sz w:val="20"/>
                <w:szCs w:val="20"/>
              </w:rPr>
              <w:t>0,34</w:t>
            </w:r>
          </w:p>
        </w:tc>
        <w:tc>
          <w:tcPr>
            <w:tcW w:w="2040" w:type="pct"/>
            <w:shd w:val="clear" w:color="auto" w:fill="auto"/>
            <w:noWrap/>
            <w:vAlign w:val="bottom"/>
          </w:tcPr>
          <w:p w:rsidR="00653B39" w:rsidRPr="00E87B8E" w:rsidRDefault="00653B39" w:rsidP="00653B39">
            <w:pPr>
              <w:rPr>
                <w:rFonts w:eastAsia="Times New Roman"/>
                <w:sz w:val="18"/>
                <w:szCs w:val="18"/>
                <w:lang w:eastAsia="es-CO"/>
              </w:rPr>
            </w:pPr>
            <w:r>
              <w:rPr>
                <w:rFonts w:eastAsia="Times New Roman"/>
                <w:sz w:val="18"/>
                <w:szCs w:val="18"/>
                <w:lang w:eastAsia="es-CO"/>
              </w:rPr>
              <w:t>No se</w:t>
            </w:r>
            <w:r w:rsidRPr="00E87B8E">
              <w:rPr>
                <w:rFonts w:eastAsia="Times New Roman"/>
                <w:sz w:val="18"/>
                <w:szCs w:val="18"/>
                <w:lang w:eastAsia="es-CO"/>
              </w:rPr>
              <w:t xml:space="preserve"> presenta ventaja exportadora al mercado de Estados Unidos</w:t>
            </w:r>
            <w:r>
              <w:rPr>
                <w:rFonts w:eastAsia="Times New Roman"/>
                <w:sz w:val="18"/>
                <w:szCs w:val="18"/>
                <w:lang w:eastAsia="es-CO"/>
              </w:rPr>
              <w:t>.</w:t>
            </w:r>
          </w:p>
        </w:tc>
      </w:tr>
      <w:tr w:rsidR="00653B39" w:rsidRPr="004D2DD7" w:rsidTr="00653B39">
        <w:trPr>
          <w:trHeight w:val="300"/>
        </w:trPr>
        <w:tc>
          <w:tcPr>
            <w:tcW w:w="345" w:type="pct"/>
            <w:shd w:val="clear" w:color="auto" w:fill="auto"/>
            <w:noWrap/>
            <w:vAlign w:val="bottom"/>
            <w:hideMark/>
          </w:tcPr>
          <w:p w:rsidR="00653B39" w:rsidRPr="004D2DD7" w:rsidRDefault="00653B39" w:rsidP="00653B39">
            <w:pPr>
              <w:jc w:val="right"/>
              <w:rPr>
                <w:rFonts w:eastAsia="Times New Roman"/>
                <w:b/>
                <w:color w:val="000000"/>
                <w:sz w:val="20"/>
                <w:szCs w:val="20"/>
                <w:lang w:eastAsia="es-CO"/>
              </w:rPr>
            </w:pPr>
            <w:r w:rsidRPr="004D2DD7">
              <w:rPr>
                <w:rFonts w:eastAsia="Times New Roman"/>
                <w:b/>
                <w:color w:val="000000"/>
                <w:sz w:val="20"/>
                <w:szCs w:val="20"/>
                <w:lang w:eastAsia="es-CO"/>
              </w:rPr>
              <w:t>2</w:t>
            </w:r>
          </w:p>
        </w:tc>
        <w:tc>
          <w:tcPr>
            <w:tcW w:w="415" w:type="pct"/>
            <w:shd w:val="clear" w:color="auto" w:fill="auto"/>
            <w:noWrap/>
            <w:vAlign w:val="bottom"/>
          </w:tcPr>
          <w:p w:rsidR="00653B39" w:rsidRPr="00E87B8E" w:rsidRDefault="00653B39" w:rsidP="00653B39">
            <w:pPr>
              <w:jc w:val="right"/>
              <w:rPr>
                <w:sz w:val="20"/>
                <w:szCs w:val="20"/>
              </w:rPr>
            </w:pPr>
            <w:r w:rsidRPr="00E87B8E">
              <w:rPr>
                <w:sz w:val="20"/>
                <w:szCs w:val="20"/>
              </w:rPr>
              <w:t>0</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w:t>
            </w:r>
          </w:p>
        </w:tc>
        <w:tc>
          <w:tcPr>
            <w:tcW w:w="434" w:type="pct"/>
            <w:shd w:val="clear" w:color="auto" w:fill="auto"/>
            <w:noWrap/>
            <w:vAlign w:val="bottom"/>
          </w:tcPr>
          <w:p w:rsidR="00653B39" w:rsidRPr="00E87B8E" w:rsidRDefault="00653B39" w:rsidP="00653B39">
            <w:pPr>
              <w:jc w:val="right"/>
              <w:rPr>
                <w:sz w:val="20"/>
                <w:szCs w:val="20"/>
              </w:rPr>
            </w:pPr>
            <w:r w:rsidRPr="00E87B8E">
              <w:rPr>
                <w:sz w:val="20"/>
                <w:szCs w:val="20"/>
              </w:rPr>
              <w:t>0</w:t>
            </w:r>
          </w:p>
        </w:tc>
        <w:tc>
          <w:tcPr>
            <w:tcW w:w="503" w:type="pct"/>
            <w:shd w:val="clear" w:color="auto" w:fill="auto"/>
            <w:noWrap/>
            <w:vAlign w:val="bottom"/>
          </w:tcPr>
          <w:p w:rsidR="00653B39" w:rsidRPr="00E87B8E" w:rsidRDefault="00653B39" w:rsidP="00653B39">
            <w:pPr>
              <w:jc w:val="right"/>
              <w:rPr>
                <w:sz w:val="20"/>
                <w:szCs w:val="20"/>
              </w:rPr>
            </w:pPr>
            <w:r w:rsidRPr="00E87B8E">
              <w:rPr>
                <w:sz w:val="20"/>
                <w:szCs w:val="20"/>
              </w:rPr>
              <w:t>0</w:t>
            </w:r>
          </w:p>
        </w:tc>
        <w:tc>
          <w:tcPr>
            <w:tcW w:w="395" w:type="pct"/>
            <w:shd w:val="clear" w:color="auto" w:fill="auto"/>
            <w:noWrap/>
            <w:vAlign w:val="bottom"/>
          </w:tcPr>
          <w:p w:rsidR="00653B39" w:rsidRPr="00E87B8E" w:rsidRDefault="00653B39" w:rsidP="00653B39">
            <w:pPr>
              <w:jc w:val="right"/>
              <w:rPr>
                <w:sz w:val="20"/>
                <w:szCs w:val="20"/>
              </w:rPr>
            </w:pPr>
            <w:r w:rsidRPr="00E87B8E">
              <w:rPr>
                <w:sz w:val="20"/>
                <w:szCs w:val="20"/>
              </w:rPr>
              <w:t>0</w:t>
            </w:r>
          </w:p>
        </w:tc>
        <w:tc>
          <w:tcPr>
            <w:tcW w:w="2040" w:type="pct"/>
            <w:shd w:val="clear" w:color="auto" w:fill="auto"/>
            <w:noWrap/>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No se presenta ventaja exportadora al mercado de Estados Unidos</w:t>
            </w:r>
            <w:r>
              <w:rPr>
                <w:rFonts w:eastAsia="Times New Roman"/>
                <w:sz w:val="18"/>
                <w:szCs w:val="18"/>
                <w:lang w:eastAsia="es-CO"/>
              </w:rPr>
              <w:t>.</w:t>
            </w:r>
          </w:p>
        </w:tc>
      </w:tr>
    </w:tbl>
    <w:p w:rsidR="00653B39" w:rsidRDefault="00653B39" w:rsidP="00653B39">
      <w:pPr>
        <w:rPr>
          <w:sz w:val="18"/>
          <w:szCs w:val="18"/>
        </w:rPr>
      </w:pPr>
    </w:p>
    <w:p w:rsidR="00653B39" w:rsidRDefault="00653B39" w:rsidP="00653B39">
      <w:pPr>
        <w:rPr>
          <w:sz w:val="18"/>
          <w:szCs w:val="18"/>
        </w:rPr>
      </w:pPr>
    </w:p>
    <w:p w:rsidR="00653B39" w:rsidRDefault="00653B39" w:rsidP="0096159F">
      <w:r>
        <w:t>El índice de Balassa, tal y como se calculó con base en la fórmula, no presenta acotación, es decir que no se ubica dentro de un rango; para lograr ubicarlo dentro de un rango, se hace una normalización del indicador de la siguiente forma:</w:t>
      </w:r>
    </w:p>
    <w:p w:rsidR="00653B39" w:rsidRPr="00B610E5" w:rsidRDefault="00653B39" w:rsidP="00653B39"/>
    <w:p w:rsidR="00653B39" w:rsidRPr="000C1C8E" w:rsidRDefault="00650550" w:rsidP="00653B39">
      <m:oMath>
        <m:sSub>
          <m:sSubPr>
            <m:ctrlPr>
              <w:rPr>
                <w:rFonts w:ascii="Cambria Math" w:hAnsi="Cambria Math"/>
                <w:i/>
                <w:highlight w:val="lightGray"/>
              </w:rPr>
            </m:ctrlPr>
          </m:sSubPr>
          <m:e>
            <m:r>
              <w:rPr>
                <w:rFonts w:ascii="Cambria Math" w:hAnsi="Cambria Math"/>
                <w:highlight w:val="lightGray"/>
              </w:rPr>
              <m:t>IB</m:t>
            </m:r>
            <m:ctrlPr>
              <w:rPr>
                <w:rFonts w:ascii="Cambria Math" w:hAnsi="Cambria Math"/>
                <w:i/>
              </w:rPr>
            </m:ctrlPr>
          </m:e>
          <m:sub>
            <m:r>
              <w:rPr>
                <w:rFonts w:ascii="Cambria Math" w:hAnsi="Cambria Math"/>
                <w:highlight w:val="lightGray"/>
              </w:rPr>
              <m:t>normalizado</m:t>
            </m:r>
            <m:ctrlPr>
              <w:rPr>
                <w:rFonts w:ascii="Cambria Math" w:hAnsi="Cambria Math"/>
                <w:i/>
              </w:rPr>
            </m:ctrlPr>
          </m:sub>
        </m:sSub>
      </m:oMath>
      <w:r w:rsidR="00653B39" w:rsidRPr="00307B25">
        <w:rPr>
          <w:rFonts w:eastAsiaTheme="minorEastAsia"/>
          <w:highlight w:val="lightGray"/>
        </w:rPr>
        <w:t xml:space="preserve"> = </w:t>
      </w:r>
      <m:oMath>
        <m:f>
          <m:fPr>
            <m:ctrlPr>
              <w:rPr>
                <w:rFonts w:ascii="Cambria Math" w:eastAsiaTheme="minorEastAsia" w:hAnsi="Cambria Math"/>
                <w:i/>
                <w:highlight w:val="lightGray"/>
              </w:rPr>
            </m:ctrlPr>
          </m:fPr>
          <m:num>
            <m:r>
              <w:rPr>
                <w:rFonts w:ascii="Cambria Math" w:eastAsiaTheme="minorEastAsia" w:hAnsi="Cambria Math"/>
                <w:highlight w:val="lightGray"/>
              </w:rPr>
              <m:t>IB-1</m:t>
            </m:r>
          </m:num>
          <m:den>
            <m:r>
              <w:rPr>
                <w:rFonts w:ascii="Cambria Math" w:eastAsiaTheme="minorEastAsia" w:hAnsi="Cambria Math"/>
                <w:highlight w:val="lightGray"/>
              </w:rPr>
              <m:t>IB+1</m:t>
            </m:r>
          </m:den>
        </m:f>
      </m:oMath>
    </w:p>
    <w:p w:rsidR="00653B39" w:rsidRDefault="00653B39" w:rsidP="00653B39">
      <w:pPr>
        <w:rPr>
          <w:sz w:val="18"/>
          <w:szCs w:val="18"/>
        </w:rPr>
      </w:pPr>
    </w:p>
    <w:p w:rsidR="00653B39" w:rsidRPr="00B610E5" w:rsidRDefault="00653B39" w:rsidP="0096159F">
      <w:r w:rsidRPr="00B610E5">
        <w:t>Ello hace que el índice se ubique dentro en un rango entre -1 y 1</w:t>
      </w:r>
      <w:r>
        <w:t>.  Cuando el índice se ubica en -1, o en valores cercanos significa que tiene no se tiene ninguna ventaja en el mercado de Estados Unidos, y cuando el indicador toma el valor de 1 o cercano a dicho valor muestra ventaja en dicho mercado.</w:t>
      </w:r>
    </w:p>
    <w:p w:rsidR="00653B39" w:rsidRDefault="00653B39" w:rsidP="00653B39">
      <w:pPr>
        <w:rPr>
          <w:sz w:val="18"/>
          <w:szCs w:val="18"/>
        </w:rPr>
      </w:pPr>
    </w:p>
    <w:p w:rsidR="00653B39" w:rsidRPr="003B1960" w:rsidRDefault="00AB7177" w:rsidP="00653B39">
      <w:r>
        <w:t>Tabla 9</w:t>
      </w:r>
      <w:r w:rsidR="00653B39" w:rsidRPr="003B1960">
        <w:t xml:space="preserve">.  </w:t>
      </w:r>
      <w:r w:rsidR="00653B39">
        <w:rPr>
          <w:rFonts w:eastAsia="Times New Roman"/>
          <w:color w:val="000000"/>
          <w:lang w:eastAsia="es-CO"/>
        </w:rPr>
        <w:t>Indice d</w:t>
      </w:r>
      <w:r w:rsidR="00653B39" w:rsidRPr="003B1960">
        <w:rPr>
          <w:rFonts w:eastAsia="Times New Roman"/>
          <w:color w:val="000000"/>
          <w:lang w:eastAsia="es-CO"/>
        </w:rPr>
        <w:t xml:space="preserve">e Balassa </w:t>
      </w:r>
      <w:r w:rsidR="00653B39">
        <w:rPr>
          <w:rFonts w:eastAsia="Times New Roman"/>
          <w:color w:val="000000"/>
          <w:lang w:eastAsia="es-CO"/>
        </w:rPr>
        <w:t>normalizado de s</w:t>
      </w:r>
      <w:r w:rsidR="00653B39" w:rsidRPr="003B1960">
        <w:rPr>
          <w:rFonts w:eastAsia="Times New Roman"/>
          <w:color w:val="000000"/>
          <w:lang w:eastAsia="es-CO"/>
        </w:rPr>
        <w:t xml:space="preserve">ectores </w:t>
      </w:r>
      <w:r w:rsidR="00653B39">
        <w:rPr>
          <w:rFonts w:eastAsia="Times New Roman"/>
          <w:color w:val="000000"/>
          <w:lang w:eastAsia="es-CO"/>
        </w:rPr>
        <w:t>de Santander en e</w:t>
      </w:r>
      <w:r w:rsidR="00653B39" w:rsidRPr="003B1960">
        <w:rPr>
          <w:rFonts w:eastAsia="Times New Roman"/>
          <w:color w:val="000000"/>
          <w:lang w:eastAsia="es-CO"/>
        </w:rPr>
        <w:t xml:space="preserve">l </w:t>
      </w:r>
      <w:r w:rsidR="00653B39">
        <w:rPr>
          <w:rFonts w:eastAsia="Times New Roman"/>
          <w:color w:val="000000"/>
          <w:lang w:eastAsia="es-CO"/>
        </w:rPr>
        <w:t>mercado d</w:t>
      </w:r>
      <w:r w:rsidR="00653B39" w:rsidRPr="003B1960">
        <w:rPr>
          <w:rFonts w:eastAsia="Times New Roman"/>
          <w:color w:val="000000"/>
          <w:lang w:eastAsia="es-CO"/>
        </w:rPr>
        <w:t>e Estados Unidos</w:t>
      </w:r>
      <w:r w:rsidR="00653B39">
        <w:rPr>
          <w:rFonts w:eastAsia="Times New Roman"/>
          <w:color w:val="000000"/>
          <w:lang w:eastAsia="es-CO"/>
        </w:rPr>
        <w:t xml:space="preserve"> </w:t>
      </w:r>
      <m:oMath>
        <m:sSub>
          <m:sSubPr>
            <m:ctrlPr>
              <w:rPr>
                <w:rFonts w:ascii="Cambria Math" w:hAnsi="Cambria Math"/>
                <w:i/>
                <w:highlight w:val="lightGray"/>
              </w:rPr>
            </m:ctrlPr>
          </m:sSubPr>
          <m:e>
            <m:r>
              <w:rPr>
                <w:rFonts w:ascii="Cambria Math" w:hAnsi="Cambria Math"/>
                <w:highlight w:val="lightGray"/>
              </w:rPr>
              <m:t>IB</m:t>
            </m:r>
            <m:ctrlPr>
              <w:rPr>
                <w:rFonts w:ascii="Cambria Math" w:hAnsi="Cambria Math"/>
                <w:i/>
              </w:rPr>
            </m:ctrlPr>
          </m:e>
          <m:sub>
            <m:r>
              <w:rPr>
                <w:rFonts w:ascii="Cambria Math" w:hAnsi="Cambria Math"/>
              </w:rPr>
              <m:t>normalizado</m:t>
            </m:r>
            <m:ctrlPr>
              <w:rPr>
                <w:rFonts w:ascii="Cambria Math" w:hAnsi="Cambria Math"/>
                <w:i/>
              </w:rPr>
            </m:ctrlPr>
          </m:sub>
        </m:sSub>
      </m:oMath>
    </w:p>
    <w:tbl>
      <w:tblPr>
        <w:tblW w:w="892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82"/>
        <w:gridCol w:w="779"/>
        <w:gridCol w:w="780"/>
        <w:gridCol w:w="780"/>
        <w:gridCol w:w="779"/>
        <w:gridCol w:w="780"/>
        <w:gridCol w:w="780"/>
        <w:gridCol w:w="3663"/>
      </w:tblGrid>
      <w:tr w:rsidR="00653B39" w:rsidRPr="00FA7D27" w:rsidTr="00653B39">
        <w:trPr>
          <w:trHeight w:val="480"/>
        </w:trPr>
        <w:tc>
          <w:tcPr>
            <w:tcW w:w="582" w:type="dxa"/>
            <w:shd w:val="clear" w:color="auto" w:fill="auto"/>
            <w:noWrap/>
            <w:vAlign w:val="bottom"/>
          </w:tcPr>
          <w:p w:rsidR="00653B39" w:rsidRPr="00240055" w:rsidRDefault="00653B39" w:rsidP="00653B39">
            <w:pPr>
              <w:jc w:val="right"/>
              <w:rPr>
                <w:rFonts w:eastAsia="Times New Roman"/>
                <w:b/>
                <w:color w:val="000000"/>
                <w:sz w:val="20"/>
                <w:szCs w:val="20"/>
                <w:lang w:eastAsia="es-CO"/>
              </w:rPr>
            </w:pPr>
            <w:r w:rsidRPr="00240055">
              <w:rPr>
                <w:rFonts w:eastAsia="Times New Roman"/>
                <w:b/>
                <w:color w:val="000000"/>
                <w:sz w:val="20"/>
                <w:szCs w:val="20"/>
                <w:lang w:eastAsia="es-CO"/>
              </w:rPr>
              <w:t>CAP</w:t>
            </w:r>
          </w:p>
        </w:tc>
        <w:tc>
          <w:tcPr>
            <w:tcW w:w="779" w:type="dxa"/>
            <w:shd w:val="clear" w:color="auto" w:fill="auto"/>
            <w:noWrap/>
            <w:vAlign w:val="bottom"/>
          </w:tcPr>
          <w:p w:rsidR="00653B39" w:rsidRPr="00240055" w:rsidRDefault="00653B39" w:rsidP="00653B39">
            <w:pPr>
              <w:jc w:val="right"/>
              <w:rPr>
                <w:rFonts w:eastAsia="Times New Roman"/>
                <w:b/>
                <w:sz w:val="20"/>
                <w:szCs w:val="20"/>
                <w:lang w:eastAsia="es-CO"/>
              </w:rPr>
            </w:pPr>
            <w:r w:rsidRPr="00240055">
              <w:rPr>
                <w:rFonts w:eastAsia="Times New Roman"/>
                <w:b/>
                <w:sz w:val="20"/>
                <w:szCs w:val="20"/>
                <w:lang w:eastAsia="es-CO"/>
              </w:rPr>
              <w:t>2006</w:t>
            </w:r>
          </w:p>
        </w:tc>
        <w:tc>
          <w:tcPr>
            <w:tcW w:w="780" w:type="dxa"/>
            <w:shd w:val="clear" w:color="auto" w:fill="auto"/>
            <w:noWrap/>
            <w:vAlign w:val="bottom"/>
          </w:tcPr>
          <w:p w:rsidR="00653B39" w:rsidRPr="00240055" w:rsidRDefault="00653B39" w:rsidP="00653B39">
            <w:pPr>
              <w:jc w:val="right"/>
              <w:rPr>
                <w:rFonts w:eastAsia="Times New Roman"/>
                <w:b/>
                <w:sz w:val="20"/>
                <w:szCs w:val="20"/>
                <w:lang w:eastAsia="es-CO"/>
              </w:rPr>
            </w:pPr>
            <w:r w:rsidRPr="00240055">
              <w:rPr>
                <w:rFonts w:eastAsia="Times New Roman"/>
                <w:b/>
                <w:sz w:val="20"/>
                <w:szCs w:val="20"/>
                <w:lang w:eastAsia="es-CO"/>
              </w:rPr>
              <w:t>2007</w:t>
            </w:r>
          </w:p>
        </w:tc>
        <w:tc>
          <w:tcPr>
            <w:tcW w:w="780" w:type="dxa"/>
            <w:shd w:val="clear" w:color="auto" w:fill="auto"/>
            <w:noWrap/>
            <w:vAlign w:val="bottom"/>
          </w:tcPr>
          <w:p w:rsidR="00653B39" w:rsidRPr="00240055" w:rsidRDefault="00653B39" w:rsidP="00653B39">
            <w:pPr>
              <w:jc w:val="right"/>
              <w:rPr>
                <w:rFonts w:eastAsia="Times New Roman"/>
                <w:b/>
                <w:sz w:val="20"/>
                <w:szCs w:val="20"/>
                <w:lang w:eastAsia="es-CO"/>
              </w:rPr>
            </w:pPr>
            <w:r w:rsidRPr="00240055">
              <w:rPr>
                <w:rFonts w:eastAsia="Times New Roman"/>
                <w:b/>
                <w:sz w:val="20"/>
                <w:szCs w:val="20"/>
                <w:lang w:eastAsia="es-CO"/>
              </w:rPr>
              <w:t>2008</w:t>
            </w:r>
          </w:p>
        </w:tc>
        <w:tc>
          <w:tcPr>
            <w:tcW w:w="779" w:type="dxa"/>
            <w:shd w:val="clear" w:color="auto" w:fill="auto"/>
            <w:noWrap/>
            <w:vAlign w:val="bottom"/>
          </w:tcPr>
          <w:p w:rsidR="00653B39" w:rsidRPr="00240055" w:rsidRDefault="00653B39" w:rsidP="00653B39">
            <w:pPr>
              <w:jc w:val="right"/>
              <w:rPr>
                <w:rFonts w:eastAsia="Times New Roman"/>
                <w:b/>
                <w:sz w:val="20"/>
                <w:szCs w:val="20"/>
                <w:lang w:eastAsia="es-CO"/>
              </w:rPr>
            </w:pPr>
            <w:r w:rsidRPr="00240055">
              <w:rPr>
                <w:rFonts w:eastAsia="Times New Roman"/>
                <w:b/>
                <w:sz w:val="20"/>
                <w:szCs w:val="20"/>
                <w:lang w:eastAsia="es-CO"/>
              </w:rPr>
              <w:t>2009</w:t>
            </w:r>
          </w:p>
        </w:tc>
        <w:tc>
          <w:tcPr>
            <w:tcW w:w="780" w:type="dxa"/>
            <w:shd w:val="clear" w:color="auto" w:fill="auto"/>
            <w:noWrap/>
            <w:vAlign w:val="bottom"/>
          </w:tcPr>
          <w:p w:rsidR="00653B39" w:rsidRPr="00240055" w:rsidRDefault="00653B39" w:rsidP="00653B39">
            <w:pPr>
              <w:jc w:val="right"/>
              <w:rPr>
                <w:rFonts w:eastAsia="Times New Roman"/>
                <w:b/>
                <w:sz w:val="20"/>
                <w:szCs w:val="20"/>
                <w:lang w:eastAsia="es-CO"/>
              </w:rPr>
            </w:pPr>
            <w:r w:rsidRPr="00240055">
              <w:rPr>
                <w:rFonts w:eastAsia="Times New Roman"/>
                <w:b/>
                <w:sz w:val="20"/>
                <w:szCs w:val="20"/>
                <w:lang w:eastAsia="es-CO"/>
              </w:rPr>
              <w:t>2010</w:t>
            </w:r>
          </w:p>
        </w:tc>
        <w:tc>
          <w:tcPr>
            <w:tcW w:w="780" w:type="dxa"/>
            <w:shd w:val="clear" w:color="auto" w:fill="auto"/>
            <w:noWrap/>
            <w:vAlign w:val="bottom"/>
          </w:tcPr>
          <w:p w:rsidR="00653B39" w:rsidRPr="00240055" w:rsidRDefault="00653B39" w:rsidP="00653B39">
            <w:pPr>
              <w:jc w:val="right"/>
              <w:rPr>
                <w:rFonts w:eastAsia="Times New Roman"/>
                <w:b/>
                <w:sz w:val="20"/>
                <w:szCs w:val="20"/>
                <w:lang w:eastAsia="es-CO"/>
              </w:rPr>
            </w:pPr>
            <w:r w:rsidRPr="00240055">
              <w:rPr>
                <w:rFonts w:eastAsia="Times New Roman"/>
                <w:b/>
                <w:sz w:val="20"/>
                <w:szCs w:val="20"/>
                <w:lang w:eastAsia="es-CO"/>
              </w:rPr>
              <w:t>2011</w:t>
            </w:r>
          </w:p>
        </w:tc>
        <w:tc>
          <w:tcPr>
            <w:tcW w:w="3663" w:type="dxa"/>
            <w:vAlign w:val="bottom"/>
          </w:tcPr>
          <w:p w:rsidR="00653B39" w:rsidRPr="004D2DD7" w:rsidRDefault="00653B39" w:rsidP="00653B39">
            <w:pPr>
              <w:rPr>
                <w:rFonts w:eastAsia="Times New Roman"/>
                <w:b/>
                <w:bCs/>
                <w:color w:val="000000"/>
                <w:sz w:val="20"/>
                <w:szCs w:val="20"/>
                <w:lang w:eastAsia="es-CO"/>
              </w:rPr>
            </w:pPr>
            <w:r w:rsidRPr="004D2DD7">
              <w:rPr>
                <w:rFonts w:eastAsia="Times New Roman"/>
                <w:b/>
                <w:bCs/>
                <w:color w:val="000000"/>
                <w:sz w:val="20"/>
                <w:szCs w:val="20"/>
                <w:lang w:eastAsia="es-CO"/>
              </w:rPr>
              <w:t>Valoración competitiva de Santander en el mercado de Estados Unidos</w:t>
            </w:r>
          </w:p>
        </w:tc>
      </w:tr>
      <w:tr w:rsidR="00653B39" w:rsidRPr="00FA7D27" w:rsidTr="00653B39">
        <w:trPr>
          <w:trHeight w:val="480"/>
        </w:trPr>
        <w:tc>
          <w:tcPr>
            <w:tcW w:w="582" w:type="dxa"/>
            <w:shd w:val="clear" w:color="auto" w:fill="auto"/>
            <w:noWrap/>
            <w:vAlign w:val="bottom"/>
          </w:tcPr>
          <w:p w:rsidR="00653B39" w:rsidRPr="00240055" w:rsidRDefault="00653B39" w:rsidP="00653B39">
            <w:pPr>
              <w:jc w:val="right"/>
              <w:rPr>
                <w:rFonts w:eastAsia="Times New Roman"/>
                <w:b/>
                <w:color w:val="000000"/>
                <w:sz w:val="20"/>
                <w:szCs w:val="20"/>
                <w:lang w:eastAsia="es-CO"/>
              </w:rPr>
            </w:pPr>
            <w:r w:rsidRPr="00240055">
              <w:rPr>
                <w:rFonts w:eastAsia="Times New Roman"/>
                <w:b/>
                <w:color w:val="000000"/>
                <w:sz w:val="20"/>
                <w:szCs w:val="20"/>
                <w:lang w:eastAsia="es-CO"/>
              </w:rPr>
              <w:t>27</w:t>
            </w:r>
          </w:p>
        </w:tc>
        <w:tc>
          <w:tcPr>
            <w:tcW w:w="779" w:type="dxa"/>
            <w:shd w:val="clear" w:color="auto" w:fill="auto"/>
            <w:noWrap/>
            <w:vAlign w:val="bottom"/>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0,07</w:t>
            </w:r>
          </w:p>
        </w:tc>
        <w:tc>
          <w:tcPr>
            <w:tcW w:w="780" w:type="dxa"/>
            <w:shd w:val="clear" w:color="auto" w:fill="auto"/>
            <w:noWrap/>
            <w:vAlign w:val="bottom"/>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0,00</w:t>
            </w:r>
          </w:p>
        </w:tc>
        <w:tc>
          <w:tcPr>
            <w:tcW w:w="780" w:type="dxa"/>
            <w:shd w:val="clear" w:color="auto" w:fill="auto"/>
            <w:noWrap/>
            <w:vAlign w:val="bottom"/>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0,74</w:t>
            </w:r>
          </w:p>
        </w:tc>
        <w:tc>
          <w:tcPr>
            <w:tcW w:w="779" w:type="dxa"/>
            <w:shd w:val="clear" w:color="auto" w:fill="auto"/>
            <w:noWrap/>
            <w:vAlign w:val="bottom"/>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0,72</w:t>
            </w:r>
          </w:p>
        </w:tc>
        <w:tc>
          <w:tcPr>
            <w:tcW w:w="780" w:type="dxa"/>
            <w:shd w:val="clear" w:color="auto" w:fill="auto"/>
            <w:noWrap/>
            <w:vAlign w:val="bottom"/>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0,55</w:t>
            </w:r>
          </w:p>
        </w:tc>
        <w:tc>
          <w:tcPr>
            <w:tcW w:w="780" w:type="dxa"/>
            <w:shd w:val="clear" w:color="auto" w:fill="auto"/>
            <w:noWrap/>
            <w:vAlign w:val="bottom"/>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0,51</w:t>
            </w:r>
          </w:p>
        </w:tc>
        <w:tc>
          <w:tcPr>
            <w:tcW w:w="3663" w:type="dxa"/>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 xml:space="preserve">Existe ventaja </w:t>
            </w:r>
            <w:r>
              <w:rPr>
                <w:rFonts w:eastAsia="Times New Roman"/>
                <w:sz w:val="18"/>
                <w:szCs w:val="18"/>
                <w:lang w:eastAsia="es-CO"/>
              </w:rPr>
              <w:t xml:space="preserve">del sector </w:t>
            </w:r>
            <w:r w:rsidRPr="00E87B8E">
              <w:rPr>
                <w:rFonts w:eastAsia="Times New Roman"/>
                <w:sz w:val="18"/>
                <w:szCs w:val="18"/>
                <w:lang w:eastAsia="es-CO"/>
              </w:rPr>
              <w:t>en las exportaciones del sector a Estados Unidos.</w:t>
            </w:r>
          </w:p>
        </w:tc>
      </w:tr>
      <w:tr w:rsidR="00653B39" w:rsidRPr="00FA7D27" w:rsidTr="00653B39">
        <w:trPr>
          <w:trHeight w:val="480"/>
        </w:trPr>
        <w:tc>
          <w:tcPr>
            <w:tcW w:w="582" w:type="dxa"/>
            <w:shd w:val="clear" w:color="auto" w:fill="auto"/>
            <w:noWrap/>
            <w:vAlign w:val="bottom"/>
            <w:hideMark/>
          </w:tcPr>
          <w:p w:rsidR="00653B39" w:rsidRPr="00240055" w:rsidRDefault="00653B39" w:rsidP="00653B39">
            <w:pPr>
              <w:jc w:val="right"/>
              <w:rPr>
                <w:rFonts w:eastAsia="Times New Roman"/>
                <w:b/>
                <w:color w:val="000000"/>
                <w:sz w:val="20"/>
                <w:szCs w:val="20"/>
                <w:lang w:eastAsia="es-CO"/>
              </w:rPr>
            </w:pPr>
            <w:r w:rsidRPr="00240055">
              <w:rPr>
                <w:rFonts w:eastAsia="Times New Roman"/>
                <w:b/>
                <w:color w:val="000000"/>
                <w:sz w:val="20"/>
                <w:szCs w:val="20"/>
                <w:lang w:eastAsia="es-CO"/>
              </w:rPr>
              <w:t>9</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0,26</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0,43</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0,49</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0,38</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0,03</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0,13</w:t>
            </w:r>
          </w:p>
        </w:tc>
        <w:tc>
          <w:tcPr>
            <w:tcW w:w="3663" w:type="dxa"/>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Existe ventaja del sector en las exportaciones a Estados Unidos.</w:t>
            </w:r>
          </w:p>
        </w:tc>
      </w:tr>
      <w:tr w:rsidR="00653B39" w:rsidRPr="00FA7D27" w:rsidTr="00653B39">
        <w:trPr>
          <w:trHeight w:val="300"/>
        </w:trPr>
        <w:tc>
          <w:tcPr>
            <w:tcW w:w="582" w:type="dxa"/>
            <w:shd w:val="clear" w:color="auto" w:fill="auto"/>
            <w:noWrap/>
            <w:vAlign w:val="bottom"/>
            <w:hideMark/>
          </w:tcPr>
          <w:p w:rsidR="00653B39" w:rsidRPr="00240055" w:rsidRDefault="00653B39" w:rsidP="00653B39">
            <w:pPr>
              <w:jc w:val="right"/>
              <w:rPr>
                <w:rFonts w:eastAsia="Times New Roman"/>
                <w:b/>
                <w:color w:val="000000"/>
                <w:sz w:val="20"/>
                <w:szCs w:val="20"/>
                <w:lang w:eastAsia="es-CO"/>
              </w:rPr>
            </w:pPr>
            <w:r w:rsidRPr="00240055">
              <w:rPr>
                <w:rFonts w:eastAsia="Times New Roman"/>
                <w:b/>
                <w:color w:val="000000"/>
                <w:sz w:val="20"/>
                <w:szCs w:val="20"/>
                <w:lang w:eastAsia="es-CO"/>
              </w:rPr>
              <w:t>71</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-0,09</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-0,97</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-0,97</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3663" w:type="dxa"/>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 xml:space="preserve">No se presenta ventaja exportadora para el mercado de Estados Unidos.  </w:t>
            </w:r>
          </w:p>
        </w:tc>
      </w:tr>
      <w:tr w:rsidR="00653B39" w:rsidRPr="00FA7D27" w:rsidTr="00653B39">
        <w:trPr>
          <w:trHeight w:val="300"/>
        </w:trPr>
        <w:tc>
          <w:tcPr>
            <w:tcW w:w="582" w:type="dxa"/>
            <w:shd w:val="clear" w:color="auto" w:fill="auto"/>
            <w:noWrap/>
            <w:vAlign w:val="bottom"/>
            <w:hideMark/>
          </w:tcPr>
          <w:p w:rsidR="00653B39" w:rsidRPr="00240055" w:rsidRDefault="00653B39" w:rsidP="00653B39">
            <w:pPr>
              <w:jc w:val="right"/>
              <w:rPr>
                <w:rFonts w:eastAsia="Times New Roman"/>
                <w:b/>
                <w:color w:val="000000"/>
                <w:sz w:val="20"/>
                <w:szCs w:val="20"/>
                <w:lang w:eastAsia="es-CO"/>
              </w:rPr>
            </w:pPr>
            <w:r w:rsidRPr="00240055">
              <w:rPr>
                <w:rFonts w:eastAsia="Times New Roman"/>
                <w:b/>
                <w:color w:val="000000"/>
                <w:sz w:val="20"/>
                <w:szCs w:val="20"/>
                <w:lang w:eastAsia="es-CO"/>
              </w:rPr>
              <w:t>29</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-0,08</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0,59</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0,59</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0,46</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0,19</w:t>
            </w:r>
          </w:p>
        </w:tc>
        <w:tc>
          <w:tcPr>
            <w:tcW w:w="3663" w:type="dxa"/>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Se ha ganado ventaja exportadora al mercado de Estados Unidos, especialmente a partir del 2008</w:t>
            </w:r>
            <w:r>
              <w:rPr>
                <w:rFonts w:eastAsia="Times New Roman"/>
                <w:sz w:val="18"/>
                <w:szCs w:val="18"/>
                <w:lang w:eastAsia="es-CO"/>
              </w:rPr>
              <w:t>.</w:t>
            </w:r>
          </w:p>
        </w:tc>
      </w:tr>
      <w:tr w:rsidR="00653B39" w:rsidRPr="00FA7D27" w:rsidTr="00653B39">
        <w:trPr>
          <w:trHeight w:val="300"/>
        </w:trPr>
        <w:tc>
          <w:tcPr>
            <w:tcW w:w="582" w:type="dxa"/>
            <w:shd w:val="clear" w:color="auto" w:fill="auto"/>
            <w:noWrap/>
            <w:vAlign w:val="bottom"/>
            <w:hideMark/>
          </w:tcPr>
          <w:p w:rsidR="00653B39" w:rsidRPr="00240055" w:rsidRDefault="00653B39" w:rsidP="00653B39">
            <w:pPr>
              <w:jc w:val="right"/>
              <w:rPr>
                <w:rFonts w:eastAsia="Times New Roman"/>
                <w:b/>
                <w:color w:val="000000"/>
                <w:sz w:val="20"/>
                <w:szCs w:val="20"/>
                <w:lang w:eastAsia="es-CO"/>
              </w:rPr>
            </w:pPr>
            <w:r w:rsidRPr="00240055">
              <w:rPr>
                <w:rFonts w:eastAsia="Times New Roman"/>
                <w:b/>
                <w:color w:val="000000"/>
                <w:sz w:val="20"/>
                <w:szCs w:val="20"/>
                <w:lang w:eastAsia="es-CO"/>
              </w:rPr>
              <w:t>87</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-0,74</w:t>
            </w:r>
          </w:p>
        </w:tc>
        <w:tc>
          <w:tcPr>
            <w:tcW w:w="3663" w:type="dxa"/>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No se presenta ventaja exportador</w:t>
            </w:r>
            <w:r>
              <w:rPr>
                <w:rFonts w:eastAsia="Times New Roman"/>
                <w:sz w:val="18"/>
                <w:szCs w:val="18"/>
                <w:lang w:eastAsia="es-CO"/>
              </w:rPr>
              <w:t>a</w:t>
            </w:r>
            <w:r w:rsidRPr="00E87B8E">
              <w:rPr>
                <w:rFonts w:eastAsia="Times New Roman"/>
                <w:sz w:val="18"/>
                <w:szCs w:val="18"/>
                <w:lang w:eastAsia="es-CO"/>
              </w:rPr>
              <w:t xml:space="preserve"> al mercado de Estados Unidos</w:t>
            </w:r>
            <w:r>
              <w:rPr>
                <w:rFonts w:eastAsia="Times New Roman"/>
                <w:sz w:val="18"/>
                <w:szCs w:val="18"/>
                <w:lang w:eastAsia="es-CO"/>
              </w:rPr>
              <w:t>.</w:t>
            </w:r>
          </w:p>
        </w:tc>
      </w:tr>
      <w:tr w:rsidR="00653B39" w:rsidRPr="00FA7D27" w:rsidTr="00653B39">
        <w:trPr>
          <w:trHeight w:val="300"/>
        </w:trPr>
        <w:tc>
          <w:tcPr>
            <w:tcW w:w="582" w:type="dxa"/>
            <w:shd w:val="clear" w:color="auto" w:fill="auto"/>
            <w:noWrap/>
            <w:vAlign w:val="bottom"/>
            <w:hideMark/>
          </w:tcPr>
          <w:p w:rsidR="00653B39" w:rsidRPr="00240055" w:rsidRDefault="00653B39" w:rsidP="00653B39">
            <w:pPr>
              <w:jc w:val="right"/>
              <w:rPr>
                <w:rFonts w:eastAsia="Times New Roman"/>
                <w:b/>
                <w:color w:val="000000"/>
                <w:sz w:val="20"/>
                <w:szCs w:val="20"/>
                <w:lang w:eastAsia="es-CO"/>
              </w:rPr>
            </w:pPr>
            <w:r w:rsidRPr="00240055">
              <w:rPr>
                <w:rFonts w:eastAsia="Times New Roman"/>
                <w:b/>
                <w:color w:val="000000"/>
                <w:sz w:val="20"/>
                <w:szCs w:val="20"/>
                <w:lang w:eastAsia="es-CO"/>
              </w:rPr>
              <w:t>15</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-0,62</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-0,80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3663" w:type="dxa"/>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No se presenta ventaja exportadora al mercado de Estados Unidos</w:t>
            </w:r>
            <w:r>
              <w:rPr>
                <w:rFonts w:eastAsia="Times New Roman"/>
                <w:sz w:val="18"/>
                <w:szCs w:val="18"/>
                <w:lang w:eastAsia="es-CO"/>
              </w:rPr>
              <w:t>.</w:t>
            </w:r>
          </w:p>
        </w:tc>
      </w:tr>
      <w:tr w:rsidR="00653B39" w:rsidRPr="00FA7D27" w:rsidTr="00653B39">
        <w:trPr>
          <w:trHeight w:val="300"/>
        </w:trPr>
        <w:tc>
          <w:tcPr>
            <w:tcW w:w="582" w:type="dxa"/>
            <w:shd w:val="clear" w:color="auto" w:fill="auto"/>
            <w:noWrap/>
            <w:vAlign w:val="bottom"/>
            <w:hideMark/>
          </w:tcPr>
          <w:p w:rsidR="00653B39" w:rsidRPr="00240055" w:rsidRDefault="00653B39" w:rsidP="00653B39">
            <w:pPr>
              <w:jc w:val="right"/>
              <w:rPr>
                <w:rFonts w:eastAsia="Times New Roman"/>
                <w:b/>
                <w:color w:val="000000"/>
                <w:sz w:val="20"/>
                <w:szCs w:val="20"/>
                <w:lang w:eastAsia="es-CO"/>
              </w:rPr>
            </w:pPr>
            <w:r w:rsidRPr="00240055">
              <w:rPr>
                <w:rFonts w:eastAsia="Times New Roman"/>
                <w:b/>
                <w:color w:val="000000"/>
                <w:sz w:val="20"/>
                <w:szCs w:val="20"/>
                <w:lang w:eastAsia="es-CO"/>
              </w:rPr>
              <w:t>84</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-0,54</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-0,58</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-0,44</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-0,57</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-0,55</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-0,78</w:t>
            </w:r>
          </w:p>
        </w:tc>
        <w:tc>
          <w:tcPr>
            <w:tcW w:w="3663" w:type="dxa"/>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No se presenta ventaja exportadora al mercado de Estados Unidos</w:t>
            </w:r>
            <w:r>
              <w:rPr>
                <w:rFonts w:eastAsia="Times New Roman"/>
                <w:sz w:val="18"/>
                <w:szCs w:val="18"/>
                <w:lang w:eastAsia="es-CO"/>
              </w:rPr>
              <w:t>.</w:t>
            </w:r>
          </w:p>
        </w:tc>
      </w:tr>
      <w:tr w:rsidR="00653B39" w:rsidRPr="00FA7D27" w:rsidTr="00653B39">
        <w:trPr>
          <w:trHeight w:val="300"/>
        </w:trPr>
        <w:tc>
          <w:tcPr>
            <w:tcW w:w="582" w:type="dxa"/>
            <w:shd w:val="clear" w:color="auto" w:fill="auto"/>
            <w:noWrap/>
            <w:vAlign w:val="bottom"/>
            <w:hideMark/>
          </w:tcPr>
          <w:p w:rsidR="00653B39" w:rsidRPr="00240055" w:rsidRDefault="00653B39" w:rsidP="00653B39">
            <w:pPr>
              <w:jc w:val="right"/>
              <w:rPr>
                <w:rFonts w:eastAsia="Times New Roman"/>
                <w:b/>
                <w:color w:val="000000"/>
                <w:sz w:val="20"/>
                <w:szCs w:val="20"/>
                <w:lang w:eastAsia="es-CO"/>
              </w:rPr>
            </w:pPr>
            <w:r w:rsidRPr="00240055">
              <w:rPr>
                <w:rFonts w:eastAsia="Times New Roman"/>
                <w:b/>
                <w:color w:val="000000"/>
                <w:sz w:val="20"/>
                <w:szCs w:val="20"/>
                <w:lang w:eastAsia="es-CO"/>
              </w:rPr>
              <w:t>62</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0,40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0,42</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0,51</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0,44</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0,07</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-0,07</w:t>
            </w:r>
          </w:p>
        </w:tc>
        <w:tc>
          <w:tcPr>
            <w:tcW w:w="3663" w:type="dxa"/>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Se presentó ventaja en las exportaciones a Estados Unidos, que disminuyó en el año 2011.</w:t>
            </w:r>
          </w:p>
        </w:tc>
      </w:tr>
      <w:tr w:rsidR="00653B39" w:rsidRPr="00FA7D27" w:rsidTr="00653B39">
        <w:trPr>
          <w:trHeight w:val="300"/>
        </w:trPr>
        <w:tc>
          <w:tcPr>
            <w:tcW w:w="582" w:type="dxa"/>
            <w:shd w:val="clear" w:color="auto" w:fill="auto"/>
            <w:noWrap/>
            <w:vAlign w:val="bottom"/>
            <w:hideMark/>
          </w:tcPr>
          <w:p w:rsidR="00653B39" w:rsidRPr="00240055" w:rsidRDefault="00653B39" w:rsidP="00653B39">
            <w:pPr>
              <w:jc w:val="right"/>
              <w:rPr>
                <w:rFonts w:eastAsia="Times New Roman"/>
                <w:b/>
                <w:color w:val="000000"/>
                <w:sz w:val="20"/>
                <w:szCs w:val="20"/>
                <w:lang w:eastAsia="es-CO"/>
              </w:rPr>
            </w:pPr>
            <w:r w:rsidRPr="00240055">
              <w:rPr>
                <w:rFonts w:eastAsia="Times New Roman"/>
                <w:b/>
                <w:color w:val="000000"/>
                <w:sz w:val="20"/>
                <w:szCs w:val="20"/>
                <w:lang w:eastAsia="es-CO"/>
              </w:rPr>
              <w:t>39</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-0,80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-0,91</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-0,30</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-0,98</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3663" w:type="dxa"/>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 xml:space="preserve">No se presenta ventaja exportadora al mercado de Estados Unidos.  </w:t>
            </w:r>
          </w:p>
        </w:tc>
      </w:tr>
      <w:tr w:rsidR="00653B39" w:rsidRPr="00FA7D27" w:rsidTr="00653B39">
        <w:trPr>
          <w:trHeight w:val="300"/>
        </w:trPr>
        <w:tc>
          <w:tcPr>
            <w:tcW w:w="582" w:type="dxa"/>
            <w:shd w:val="clear" w:color="auto" w:fill="auto"/>
            <w:noWrap/>
            <w:vAlign w:val="bottom"/>
            <w:hideMark/>
          </w:tcPr>
          <w:p w:rsidR="00653B39" w:rsidRPr="00240055" w:rsidRDefault="00653B39" w:rsidP="00653B39">
            <w:pPr>
              <w:jc w:val="right"/>
              <w:rPr>
                <w:rFonts w:eastAsia="Times New Roman"/>
                <w:b/>
                <w:color w:val="000000"/>
                <w:sz w:val="20"/>
                <w:szCs w:val="20"/>
                <w:lang w:eastAsia="es-CO"/>
              </w:rPr>
            </w:pPr>
            <w:r w:rsidRPr="00240055">
              <w:rPr>
                <w:rFonts w:eastAsia="Times New Roman"/>
                <w:b/>
                <w:color w:val="000000"/>
                <w:sz w:val="20"/>
                <w:szCs w:val="20"/>
                <w:lang w:eastAsia="es-CO"/>
              </w:rPr>
              <w:t>64</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-0,63</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-0,67</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-0,48</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-0,67</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-0,59</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-0,78</w:t>
            </w:r>
          </w:p>
        </w:tc>
        <w:tc>
          <w:tcPr>
            <w:tcW w:w="3663" w:type="dxa"/>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No se presenta ventaja exportadora al mercado de Estados Unidos</w:t>
            </w:r>
            <w:r>
              <w:rPr>
                <w:rFonts w:eastAsia="Times New Roman"/>
                <w:sz w:val="18"/>
                <w:szCs w:val="18"/>
                <w:lang w:eastAsia="es-CO"/>
              </w:rPr>
              <w:t>.</w:t>
            </w:r>
          </w:p>
        </w:tc>
      </w:tr>
      <w:tr w:rsidR="00653B39" w:rsidRPr="00FA7D27" w:rsidTr="00653B39">
        <w:trPr>
          <w:trHeight w:val="300"/>
        </w:trPr>
        <w:tc>
          <w:tcPr>
            <w:tcW w:w="582" w:type="dxa"/>
            <w:shd w:val="clear" w:color="auto" w:fill="auto"/>
            <w:noWrap/>
            <w:vAlign w:val="bottom"/>
            <w:hideMark/>
          </w:tcPr>
          <w:p w:rsidR="00653B39" w:rsidRPr="00240055" w:rsidRDefault="00653B39" w:rsidP="00653B39">
            <w:pPr>
              <w:jc w:val="right"/>
              <w:rPr>
                <w:rFonts w:eastAsia="Times New Roman"/>
                <w:b/>
                <w:color w:val="000000"/>
                <w:sz w:val="20"/>
                <w:szCs w:val="20"/>
                <w:lang w:eastAsia="es-CO"/>
              </w:rPr>
            </w:pPr>
            <w:r w:rsidRPr="00240055">
              <w:rPr>
                <w:rFonts w:eastAsia="Times New Roman"/>
                <w:b/>
                <w:color w:val="000000"/>
                <w:sz w:val="20"/>
                <w:szCs w:val="20"/>
                <w:lang w:eastAsia="es-CO"/>
              </w:rPr>
              <w:t>61</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-0,28</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0,01</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-0,25</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-0,44</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-0,47</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-0,49</w:t>
            </w:r>
          </w:p>
        </w:tc>
        <w:tc>
          <w:tcPr>
            <w:tcW w:w="3663" w:type="dxa"/>
            <w:vAlign w:val="bottom"/>
          </w:tcPr>
          <w:p w:rsidR="00653B39" w:rsidRPr="00E87B8E" w:rsidRDefault="00653B39" w:rsidP="00653B39">
            <w:pPr>
              <w:rPr>
                <w:rFonts w:eastAsia="Times New Roman"/>
                <w:sz w:val="18"/>
                <w:szCs w:val="18"/>
                <w:lang w:eastAsia="es-CO"/>
              </w:rPr>
            </w:pPr>
            <w:r>
              <w:rPr>
                <w:rFonts w:eastAsia="Times New Roman"/>
                <w:sz w:val="18"/>
                <w:szCs w:val="18"/>
                <w:lang w:eastAsia="es-CO"/>
              </w:rPr>
              <w:t>No se</w:t>
            </w:r>
            <w:r w:rsidRPr="00E87B8E">
              <w:rPr>
                <w:rFonts w:eastAsia="Times New Roman"/>
                <w:sz w:val="18"/>
                <w:szCs w:val="18"/>
                <w:lang w:eastAsia="es-CO"/>
              </w:rPr>
              <w:t xml:space="preserve"> presenta ventaja exportadora al mercado de Estados Unidos</w:t>
            </w:r>
            <w:r>
              <w:rPr>
                <w:rFonts w:eastAsia="Times New Roman"/>
                <w:sz w:val="18"/>
                <w:szCs w:val="18"/>
                <w:lang w:eastAsia="es-CO"/>
              </w:rPr>
              <w:t>.</w:t>
            </w:r>
          </w:p>
        </w:tc>
      </w:tr>
      <w:tr w:rsidR="00653B39" w:rsidRPr="00FA7D27" w:rsidTr="00653B39">
        <w:trPr>
          <w:trHeight w:val="300"/>
        </w:trPr>
        <w:tc>
          <w:tcPr>
            <w:tcW w:w="582" w:type="dxa"/>
            <w:shd w:val="clear" w:color="auto" w:fill="auto"/>
            <w:noWrap/>
            <w:vAlign w:val="bottom"/>
            <w:hideMark/>
          </w:tcPr>
          <w:p w:rsidR="00653B39" w:rsidRPr="00240055" w:rsidRDefault="00653B39" w:rsidP="00653B39">
            <w:pPr>
              <w:jc w:val="right"/>
              <w:rPr>
                <w:rFonts w:eastAsia="Times New Roman"/>
                <w:b/>
                <w:color w:val="000000"/>
                <w:sz w:val="20"/>
                <w:szCs w:val="20"/>
                <w:lang w:eastAsia="es-CO"/>
              </w:rPr>
            </w:pPr>
            <w:r w:rsidRPr="00240055">
              <w:rPr>
                <w:rFonts w:eastAsia="Times New Roman"/>
                <w:b/>
                <w:color w:val="000000"/>
                <w:sz w:val="20"/>
                <w:szCs w:val="20"/>
                <w:lang w:eastAsia="es-CO"/>
              </w:rPr>
              <w:t>2</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79"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780" w:type="dxa"/>
            <w:shd w:val="clear" w:color="auto" w:fill="auto"/>
            <w:noWrap/>
            <w:vAlign w:val="bottom"/>
            <w:hideMark/>
          </w:tcPr>
          <w:p w:rsidR="00653B39" w:rsidRPr="00647830" w:rsidRDefault="00653B39" w:rsidP="00653B39">
            <w:pPr>
              <w:jc w:val="right"/>
              <w:rPr>
                <w:rFonts w:eastAsia="Times New Roman"/>
                <w:sz w:val="20"/>
                <w:szCs w:val="20"/>
                <w:lang w:eastAsia="es-CO"/>
              </w:rPr>
            </w:pPr>
            <w:r w:rsidRPr="00647830">
              <w:rPr>
                <w:rFonts w:eastAsia="Times New Roman"/>
                <w:sz w:val="20"/>
                <w:szCs w:val="20"/>
                <w:lang w:eastAsia="es-CO"/>
              </w:rPr>
              <w:t>-1,00</w:t>
            </w:r>
          </w:p>
        </w:tc>
        <w:tc>
          <w:tcPr>
            <w:tcW w:w="3663" w:type="dxa"/>
            <w:vAlign w:val="bottom"/>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No se presenta ventaja exportadora al mercado de Estados Unidos</w:t>
            </w:r>
            <w:r>
              <w:rPr>
                <w:rFonts w:eastAsia="Times New Roman"/>
                <w:sz w:val="18"/>
                <w:szCs w:val="18"/>
                <w:lang w:eastAsia="es-CO"/>
              </w:rPr>
              <w:t>.</w:t>
            </w:r>
          </w:p>
        </w:tc>
      </w:tr>
    </w:tbl>
    <w:p w:rsidR="00653B39" w:rsidRDefault="00653B39" w:rsidP="00653B39">
      <w:pPr>
        <w:rPr>
          <w:sz w:val="18"/>
          <w:szCs w:val="18"/>
        </w:rPr>
      </w:pPr>
    </w:p>
    <w:p w:rsidR="00653B39" w:rsidRPr="00FA340A" w:rsidRDefault="00653B39" w:rsidP="0096159F">
      <w:r>
        <w:t>El índice de Balassa muestra de una forma más específica el potencial de cada capítulo en el mercado de Estados Unidos, ya que tiene en cuenta no solo la relación entre exportaciones e importaciones sectoriales al mercado de referencia; sino que se además establece una relación del sector frente a las exportaciones totales de la región.</w:t>
      </w:r>
    </w:p>
    <w:p w:rsidR="00653B39" w:rsidRDefault="00653B39" w:rsidP="00653B39">
      <w:pPr>
        <w:rPr>
          <w:sz w:val="18"/>
          <w:szCs w:val="18"/>
        </w:rPr>
      </w:pPr>
    </w:p>
    <w:p w:rsidR="00653B39" w:rsidRDefault="00653B39" w:rsidP="00653B39">
      <w:pPr>
        <w:rPr>
          <w:sz w:val="18"/>
          <w:szCs w:val="18"/>
        </w:rPr>
      </w:pPr>
    </w:p>
    <w:p w:rsidR="00653B39" w:rsidRDefault="00653B39" w:rsidP="00653B39">
      <w:pPr>
        <w:jc w:val="center"/>
        <w:rPr>
          <w:b/>
        </w:rPr>
      </w:pPr>
    </w:p>
    <w:p w:rsidR="00653B39" w:rsidRDefault="00653B39" w:rsidP="00653B39">
      <w:pPr>
        <w:jc w:val="center"/>
        <w:rPr>
          <w:b/>
        </w:rPr>
      </w:pPr>
    </w:p>
    <w:p w:rsidR="00AB7177" w:rsidRDefault="00AB7177" w:rsidP="00653B39"/>
    <w:p w:rsidR="00AB7177" w:rsidRDefault="00AB7177" w:rsidP="00653B39"/>
    <w:p w:rsidR="00AB7177" w:rsidRDefault="00AB7177" w:rsidP="00653B39"/>
    <w:p w:rsidR="00AB7177" w:rsidRDefault="00AB7177" w:rsidP="00653B39"/>
    <w:p w:rsidR="00AB7177" w:rsidRDefault="00AB7177" w:rsidP="00653B39"/>
    <w:p w:rsidR="00653B39" w:rsidRPr="00D227A5" w:rsidRDefault="00AB7177" w:rsidP="00653B39">
      <w:r>
        <w:lastRenderedPageBreak/>
        <w:t>Tabla 10</w:t>
      </w:r>
      <w:r w:rsidR="00653B39" w:rsidRPr="00D227A5">
        <w:t>. Cuadro resumen de valoración indicadores de dinamismo comercial para los sectores representativos de las exportaciones de Santander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4"/>
        <w:gridCol w:w="2156"/>
        <w:gridCol w:w="2156"/>
        <w:gridCol w:w="2156"/>
        <w:gridCol w:w="2156"/>
      </w:tblGrid>
      <w:tr w:rsidR="00653B39" w:rsidRPr="008E6055" w:rsidTr="00653B39">
        <w:trPr>
          <w:trHeight w:val="1072"/>
        </w:trPr>
        <w:tc>
          <w:tcPr>
            <w:tcW w:w="354" w:type="dxa"/>
            <w:tcBorders>
              <w:bottom w:val="single" w:sz="4" w:space="0" w:color="auto"/>
            </w:tcBorders>
            <w:shd w:val="clear" w:color="auto" w:fill="A6A6A6" w:themeFill="background1" w:themeFillShade="A6"/>
            <w:noWrap/>
            <w:vAlign w:val="bottom"/>
          </w:tcPr>
          <w:p w:rsidR="00653B39" w:rsidRPr="008E6055" w:rsidRDefault="00653B39" w:rsidP="00653B39">
            <w:pPr>
              <w:rPr>
                <w:rFonts w:eastAsia="Times New Roman"/>
                <w:color w:val="000000"/>
                <w:sz w:val="18"/>
                <w:szCs w:val="18"/>
                <w:lang w:eastAsia="es-CO"/>
              </w:rPr>
            </w:pPr>
          </w:p>
        </w:tc>
        <w:tc>
          <w:tcPr>
            <w:tcW w:w="2156" w:type="dxa"/>
            <w:tcBorders>
              <w:bottom w:val="single" w:sz="4" w:space="0" w:color="auto"/>
            </w:tcBorders>
            <w:shd w:val="clear" w:color="auto" w:fill="A6A6A6" w:themeFill="background1" w:themeFillShade="A6"/>
            <w:noWrap/>
            <w:vAlign w:val="bottom"/>
          </w:tcPr>
          <w:p w:rsidR="00653B39" w:rsidRPr="008E6055" w:rsidRDefault="00653B39" w:rsidP="00653B39">
            <w:pPr>
              <w:rPr>
                <w:sz w:val="18"/>
                <w:szCs w:val="18"/>
              </w:rPr>
            </w:pPr>
            <w:r w:rsidRPr="008E6055">
              <w:rPr>
                <w:sz w:val="18"/>
                <w:szCs w:val="18"/>
              </w:rPr>
              <w:t>BALANZA COMERCIAL RELATIVA</w:t>
            </w:r>
          </w:p>
          <w:p w:rsidR="00653B39" w:rsidRPr="008E6055" w:rsidRDefault="00653B39" w:rsidP="00653B39">
            <w:pPr>
              <w:rPr>
                <w:sz w:val="18"/>
                <w:szCs w:val="18"/>
              </w:rPr>
            </w:pPr>
            <w:r w:rsidRPr="008E6055">
              <w:rPr>
                <w:sz w:val="18"/>
                <w:szCs w:val="18"/>
              </w:rPr>
              <w:t>SECTORIAL</w:t>
            </w:r>
          </w:p>
          <w:p w:rsidR="00653B39" w:rsidRPr="008E6055" w:rsidRDefault="00653B39" w:rsidP="00653B39">
            <w:pPr>
              <w:jc w:val="right"/>
              <w:rPr>
                <w:rFonts w:eastAsia="Times New Roman"/>
                <w:color w:val="000000"/>
                <w:sz w:val="18"/>
                <w:szCs w:val="18"/>
                <w:lang w:eastAsia="es-CO"/>
              </w:rPr>
            </w:pPr>
          </w:p>
        </w:tc>
        <w:tc>
          <w:tcPr>
            <w:tcW w:w="2156" w:type="dxa"/>
            <w:tcBorders>
              <w:bottom w:val="single" w:sz="4" w:space="0" w:color="auto"/>
            </w:tcBorders>
            <w:shd w:val="clear" w:color="auto" w:fill="A6A6A6" w:themeFill="background1" w:themeFillShade="A6"/>
            <w:noWrap/>
            <w:vAlign w:val="bottom"/>
          </w:tcPr>
          <w:p w:rsidR="00653B39" w:rsidRPr="008E6055" w:rsidRDefault="00653B39" w:rsidP="00653B39">
            <w:pPr>
              <w:rPr>
                <w:sz w:val="18"/>
                <w:szCs w:val="18"/>
              </w:rPr>
            </w:pPr>
            <w:r w:rsidRPr="008E6055">
              <w:rPr>
                <w:sz w:val="18"/>
                <w:szCs w:val="18"/>
              </w:rPr>
              <w:t>BALANZA COMERCIAL RELATIVA SECTORIAL CON REFERENCIA A UN PAÍS DESTINO.</w:t>
            </w:r>
          </w:p>
          <w:p w:rsidR="00653B39" w:rsidRPr="008E6055" w:rsidRDefault="00653B39" w:rsidP="00653B39">
            <w:pPr>
              <w:jc w:val="right"/>
              <w:rPr>
                <w:rFonts w:eastAsia="Times New Roman"/>
                <w:color w:val="000000"/>
                <w:sz w:val="18"/>
                <w:szCs w:val="18"/>
                <w:lang w:eastAsia="es-CO"/>
              </w:rPr>
            </w:pPr>
          </w:p>
        </w:tc>
        <w:tc>
          <w:tcPr>
            <w:tcW w:w="2156" w:type="dxa"/>
            <w:tcBorders>
              <w:bottom w:val="single" w:sz="4" w:space="0" w:color="auto"/>
            </w:tcBorders>
            <w:shd w:val="clear" w:color="auto" w:fill="A6A6A6" w:themeFill="background1" w:themeFillShade="A6"/>
            <w:noWrap/>
            <w:vAlign w:val="bottom"/>
          </w:tcPr>
          <w:p w:rsidR="00653B39" w:rsidRPr="008E6055" w:rsidRDefault="00653B39" w:rsidP="00653B39">
            <w:pPr>
              <w:rPr>
                <w:sz w:val="18"/>
                <w:szCs w:val="18"/>
              </w:rPr>
            </w:pPr>
            <w:r w:rsidRPr="008E6055">
              <w:rPr>
                <w:sz w:val="18"/>
                <w:szCs w:val="18"/>
              </w:rPr>
              <w:t xml:space="preserve">INDICE DE VENTAJA COMPARATIVA REVELADA.  </w:t>
            </w:r>
          </w:p>
          <w:p w:rsidR="00653B39" w:rsidRPr="008E6055" w:rsidRDefault="00653B39" w:rsidP="00653B39">
            <w:pPr>
              <w:jc w:val="right"/>
              <w:rPr>
                <w:rFonts w:eastAsia="Times New Roman"/>
                <w:color w:val="000000"/>
                <w:sz w:val="18"/>
                <w:szCs w:val="18"/>
                <w:lang w:eastAsia="es-CO"/>
              </w:rPr>
            </w:pPr>
          </w:p>
        </w:tc>
        <w:tc>
          <w:tcPr>
            <w:tcW w:w="2156" w:type="dxa"/>
            <w:tcBorders>
              <w:bottom w:val="single" w:sz="4" w:space="0" w:color="auto"/>
            </w:tcBorders>
            <w:shd w:val="clear" w:color="auto" w:fill="A6A6A6" w:themeFill="background1" w:themeFillShade="A6"/>
            <w:noWrap/>
            <w:vAlign w:val="bottom"/>
          </w:tcPr>
          <w:p w:rsidR="00653B39" w:rsidRPr="008E6055" w:rsidRDefault="00653B39" w:rsidP="00653B39">
            <w:pPr>
              <w:rPr>
                <w:sz w:val="18"/>
                <w:szCs w:val="18"/>
              </w:rPr>
            </w:pPr>
            <w:r w:rsidRPr="008E6055">
              <w:rPr>
                <w:sz w:val="18"/>
                <w:szCs w:val="18"/>
              </w:rPr>
              <w:t>INDICE DE BALASSA</w:t>
            </w:r>
          </w:p>
          <w:p w:rsidR="00653B39" w:rsidRPr="008E6055" w:rsidRDefault="00653B39" w:rsidP="00653B39">
            <w:pPr>
              <w:jc w:val="right"/>
              <w:rPr>
                <w:rFonts w:eastAsia="Times New Roman"/>
                <w:color w:val="000000"/>
                <w:sz w:val="18"/>
                <w:szCs w:val="18"/>
                <w:lang w:eastAsia="es-CO"/>
              </w:rPr>
            </w:pPr>
          </w:p>
        </w:tc>
      </w:tr>
      <w:tr w:rsidR="00653B39" w:rsidRPr="008E6055" w:rsidTr="00653B39">
        <w:trPr>
          <w:trHeight w:val="662"/>
        </w:trPr>
        <w:tc>
          <w:tcPr>
            <w:tcW w:w="354" w:type="dxa"/>
            <w:shd w:val="clear" w:color="auto" w:fill="FFFFFF" w:themeFill="background1"/>
            <w:noWrap/>
            <w:vAlign w:val="center"/>
          </w:tcPr>
          <w:p w:rsidR="00653B39" w:rsidRPr="006D41B4" w:rsidRDefault="00653B39" w:rsidP="00653B39">
            <w:pPr>
              <w:jc w:val="center"/>
              <w:rPr>
                <w:rFonts w:eastAsia="Times New Roman"/>
                <w:color w:val="000000"/>
                <w:sz w:val="18"/>
                <w:szCs w:val="18"/>
                <w:lang w:val="en-US" w:eastAsia="es-CO"/>
              </w:rPr>
            </w:pPr>
            <w:r>
              <w:rPr>
                <w:rFonts w:eastAsia="Times New Roman"/>
                <w:color w:val="000000"/>
                <w:sz w:val="18"/>
                <w:szCs w:val="18"/>
                <w:lang w:val="en-US" w:eastAsia="es-CO"/>
              </w:rPr>
              <w:t>.</w:t>
            </w:r>
          </w:p>
        </w:tc>
        <w:tc>
          <w:tcPr>
            <w:tcW w:w="2156" w:type="dxa"/>
            <w:shd w:val="clear" w:color="auto" w:fill="FFFFFF" w:themeFill="background1"/>
            <w:noWrap/>
            <w:vAlign w:val="center"/>
          </w:tcPr>
          <w:p w:rsidR="00653B39" w:rsidRPr="00311ABB" w:rsidRDefault="00653B39" w:rsidP="00653B39">
            <w:pPr>
              <w:jc w:val="center"/>
              <w:rPr>
                <w:b/>
                <w:sz w:val="18"/>
                <w:szCs w:val="18"/>
              </w:rPr>
            </w:pPr>
          </w:p>
          <w:p w:rsidR="00653B39" w:rsidRPr="00311ABB" w:rsidRDefault="00653B39" w:rsidP="00653B39">
            <w:pPr>
              <w:jc w:val="center"/>
              <w:rPr>
                <w:b/>
                <w:sz w:val="18"/>
                <w:szCs w:val="18"/>
              </w:rPr>
            </w:pPr>
            <w:r w:rsidRPr="00311ABB">
              <w:rPr>
                <w:b/>
                <w:sz w:val="18"/>
                <w:szCs w:val="18"/>
              </w:rPr>
              <w:t>VALORACIÓN</w:t>
            </w:r>
          </w:p>
          <w:p w:rsidR="00653B39" w:rsidRPr="00311ABB" w:rsidRDefault="00653B39" w:rsidP="00653B39">
            <w:pPr>
              <w:jc w:val="center"/>
              <w:rPr>
                <w:b/>
                <w:sz w:val="18"/>
                <w:szCs w:val="18"/>
              </w:rPr>
            </w:pPr>
            <w:r w:rsidRPr="00311ABB">
              <w:rPr>
                <w:b/>
                <w:sz w:val="18"/>
                <w:szCs w:val="18"/>
              </w:rPr>
              <w:t>2006 – 2011</w:t>
            </w:r>
          </w:p>
        </w:tc>
        <w:tc>
          <w:tcPr>
            <w:tcW w:w="2156" w:type="dxa"/>
            <w:shd w:val="clear" w:color="auto" w:fill="FFFFFF" w:themeFill="background1"/>
            <w:noWrap/>
            <w:vAlign w:val="center"/>
          </w:tcPr>
          <w:p w:rsidR="00653B39" w:rsidRPr="00311ABB" w:rsidRDefault="00653B39" w:rsidP="00653B39">
            <w:pPr>
              <w:jc w:val="center"/>
              <w:rPr>
                <w:b/>
                <w:sz w:val="18"/>
                <w:szCs w:val="18"/>
              </w:rPr>
            </w:pPr>
            <w:r w:rsidRPr="00311ABB">
              <w:rPr>
                <w:b/>
                <w:sz w:val="18"/>
                <w:szCs w:val="18"/>
              </w:rPr>
              <w:t>VALORACIÓN</w:t>
            </w:r>
          </w:p>
          <w:p w:rsidR="00653B39" w:rsidRPr="00311ABB" w:rsidRDefault="00653B39" w:rsidP="00653B39">
            <w:pPr>
              <w:jc w:val="center"/>
              <w:rPr>
                <w:b/>
                <w:sz w:val="18"/>
                <w:szCs w:val="18"/>
              </w:rPr>
            </w:pPr>
            <w:r w:rsidRPr="00311ABB">
              <w:rPr>
                <w:b/>
                <w:sz w:val="18"/>
                <w:szCs w:val="18"/>
              </w:rPr>
              <w:t>2006 – 2011</w:t>
            </w:r>
          </w:p>
        </w:tc>
        <w:tc>
          <w:tcPr>
            <w:tcW w:w="2156" w:type="dxa"/>
            <w:shd w:val="clear" w:color="auto" w:fill="FFFFFF" w:themeFill="background1"/>
            <w:noWrap/>
            <w:vAlign w:val="center"/>
          </w:tcPr>
          <w:p w:rsidR="00653B39" w:rsidRPr="00311ABB" w:rsidRDefault="00653B39" w:rsidP="00653B39">
            <w:pPr>
              <w:jc w:val="center"/>
              <w:rPr>
                <w:b/>
                <w:sz w:val="18"/>
                <w:szCs w:val="18"/>
              </w:rPr>
            </w:pPr>
            <w:r w:rsidRPr="00311ABB">
              <w:rPr>
                <w:b/>
                <w:sz w:val="18"/>
                <w:szCs w:val="18"/>
              </w:rPr>
              <w:t>VALORACIÓN</w:t>
            </w:r>
          </w:p>
          <w:p w:rsidR="00653B39" w:rsidRPr="00311ABB" w:rsidRDefault="00653B39" w:rsidP="00653B39">
            <w:pPr>
              <w:jc w:val="center"/>
              <w:rPr>
                <w:b/>
                <w:sz w:val="18"/>
                <w:szCs w:val="18"/>
              </w:rPr>
            </w:pPr>
            <w:r w:rsidRPr="00311ABB">
              <w:rPr>
                <w:b/>
                <w:sz w:val="18"/>
                <w:szCs w:val="18"/>
              </w:rPr>
              <w:t>2006 - 2011</w:t>
            </w:r>
          </w:p>
        </w:tc>
        <w:tc>
          <w:tcPr>
            <w:tcW w:w="2156" w:type="dxa"/>
            <w:shd w:val="clear" w:color="auto" w:fill="FFFFFF" w:themeFill="background1"/>
            <w:noWrap/>
            <w:vAlign w:val="center"/>
          </w:tcPr>
          <w:p w:rsidR="00653B39" w:rsidRPr="00311ABB" w:rsidRDefault="00653B39" w:rsidP="00653B39">
            <w:pPr>
              <w:rPr>
                <w:b/>
                <w:sz w:val="18"/>
                <w:szCs w:val="18"/>
              </w:rPr>
            </w:pPr>
            <w:r w:rsidRPr="00311ABB">
              <w:rPr>
                <w:b/>
                <w:sz w:val="18"/>
                <w:szCs w:val="18"/>
              </w:rPr>
              <w:t>VALORACIÓN</w:t>
            </w:r>
          </w:p>
          <w:p w:rsidR="00653B39" w:rsidRPr="00311ABB" w:rsidRDefault="00653B39" w:rsidP="00653B39">
            <w:pPr>
              <w:rPr>
                <w:b/>
                <w:sz w:val="18"/>
                <w:szCs w:val="18"/>
              </w:rPr>
            </w:pPr>
            <w:r w:rsidRPr="00311ABB">
              <w:rPr>
                <w:b/>
                <w:sz w:val="18"/>
                <w:szCs w:val="18"/>
              </w:rPr>
              <w:t>2006 – 2011</w:t>
            </w:r>
          </w:p>
        </w:tc>
      </w:tr>
      <w:tr w:rsidR="00653B39" w:rsidRPr="008E6055" w:rsidTr="00653B39">
        <w:trPr>
          <w:trHeight w:val="300"/>
        </w:trPr>
        <w:tc>
          <w:tcPr>
            <w:tcW w:w="354" w:type="dxa"/>
            <w:shd w:val="clear" w:color="auto" w:fill="auto"/>
            <w:noWrap/>
            <w:vAlign w:val="center"/>
            <w:hideMark/>
          </w:tcPr>
          <w:p w:rsidR="00653B39" w:rsidRPr="008E6055" w:rsidRDefault="00653B39" w:rsidP="00653B39">
            <w:pPr>
              <w:jc w:val="center"/>
              <w:rPr>
                <w:rFonts w:eastAsia="Times New Roman"/>
                <w:color w:val="000000"/>
                <w:sz w:val="18"/>
                <w:szCs w:val="18"/>
                <w:lang w:eastAsia="es-CO"/>
              </w:rPr>
            </w:pPr>
            <w:r w:rsidRPr="008E6055">
              <w:rPr>
                <w:rFonts w:eastAsia="Times New Roman"/>
                <w:color w:val="000000"/>
                <w:sz w:val="18"/>
                <w:szCs w:val="18"/>
                <w:lang w:eastAsia="es-CO"/>
              </w:rPr>
              <w:t>27</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Muy alta tendencia exportadora, especialmente en el año 2009, 2010.</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Aumento de la tendencia exportadora entre 2006 – 2011</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Ventaja competitiva en el mercado de Estados Unidos.</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Ha logrado ventaja competitiva respecto al año 2006.</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Potencial competitivo mediano.</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Ganó competitividad en los años 2009, 2010 y 2011 en el mercado de Estados Unidos.</w:t>
            </w:r>
          </w:p>
        </w:tc>
        <w:tc>
          <w:tcPr>
            <w:tcW w:w="2156" w:type="dxa"/>
            <w:shd w:val="clear" w:color="auto" w:fill="auto"/>
            <w:noWrap/>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Existe ventaja en las exportaciones del sector a Estados Unidos.</w:t>
            </w:r>
          </w:p>
        </w:tc>
      </w:tr>
      <w:tr w:rsidR="00653B39" w:rsidRPr="008E6055" w:rsidTr="00653B39">
        <w:trPr>
          <w:trHeight w:val="300"/>
        </w:trPr>
        <w:tc>
          <w:tcPr>
            <w:tcW w:w="354" w:type="dxa"/>
            <w:shd w:val="clear" w:color="auto" w:fill="auto"/>
            <w:noWrap/>
            <w:vAlign w:val="center"/>
            <w:hideMark/>
          </w:tcPr>
          <w:p w:rsidR="00653B39" w:rsidRPr="008E6055" w:rsidRDefault="00653B39" w:rsidP="00653B39">
            <w:pPr>
              <w:jc w:val="center"/>
              <w:rPr>
                <w:rFonts w:eastAsia="Times New Roman"/>
                <w:color w:val="000000"/>
                <w:sz w:val="18"/>
                <w:szCs w:val="18"/>
                <w:lang w:eastAsia="es-CO"/>
              </w:rPr>
            </w:pPr>
            <w:r w:rsidRPr="008E6055">
              <w:rPr>
                <w:rFonts w:eastAsia="Times New Roman"/>
                <w:color w:val="000000"/>
                <w:sz w:val="18"/>
                <w:szCs w:val="18"/>
                <w:lang w:eastAsia="es-CO"/>
              </w:rPr>
              <w:t>9</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Muy alta tendencia exportadora.</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Se mantiene la tendencia exportadora entre 2006 – 2011</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 xml:space="preserve">Alta ventaja competitiva del sector </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En el mercado de Estados Unidos</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Se ha sostenido la ventaja entre 2006 – 2011.</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Potencial competitivo mediano.  El potencial competitivo tiende a ser constante entre el 2006 – 2011.</w:t>
            </w:r>
          </w:p>
        </w:tc>
        <w:tc>
          <w:tcPr>
            <w:tcW w:w="2156" w:type="dxa"/>
            <w:shd w:val="clear" w:color="auto" w:fill="auto"/>
            <w:noWrap/>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Existe ventaja del sector en las exportaciones a Estados Unidos.</w:t>
            </w:r>
          </w:p>
        </w:tc>
      </w:tr>
      <w:tr w:rsidR="00653B39" w:rsidRPr="008E6055" w:rsidTr="00653B39">
        <w:trPr>
          <w:trHeight w:val="300"/>
        </w:trPr>
        <w:tc>
          <w:tcPr>
            <w:tcW w:w="354" w:type="dxa"/>
            <w:shd w:val="clear" w:color="auto" w:fill="auto"/>
            <w:noWrap/>
            <w:vAlign w:val="center"/>
            <w:hideMark/>
          </w:tcPr>
          <w:p w:rsidR="00653B39" w:rsidRPr="008E6055" w:rsidRDefault="00653B39" w:rsidP="00653B39">
            <w:pPr>
              <w:jc w:val="center"/>
              <w:rPr>
                <w:rFonts w:eastAsia="Times New Roman"/>
                <w:color w:val="000000"/>
                <w:sz w:val="18"/>
                <w:szCs w:val="18"/>
                <w:lang w:eastAsia="es-CO"/>
              </w:rPr>
            </w:pPr>
            <w:r w:rsidRPr="008E6055">
              <w:rPr>
                <w:rFonts w:eastAsia="Times New Roman"/>
                <w:color w:val="000000"/>
                <w:sz w:val="18"/>
                <w:szCs w:val="18"/>
                <w:lang w:eastAsia="es-CO"/>
              </w:rPr>
              <w:t>71</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 xml:space="preserve">Alta tendencia exportadora hasta el año 2010.  </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En el año 2011 la tendencia cambió hacia las importaciones.</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No presenta ventaja competitiva en el mercado de Estados Unidos. Pérdida de ventaja competitiva a partir del año 2008. En el año 2006 se presentó alta ventaja competitiva.</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Carece de competitividad.</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Ha disminuido la competitividad en el mercado de Estados Unidos a partir del 2006.</w:t>
            </w:r>
          </w:p>
        </w:tc>
        <w:tc>
          <w:tcPr>
            <w:tcW w:w="2156" w:type="dxa"/>
            <w:shd w:val="clear" w:color="auto" w:fill="auto"/>
            <w:noWrap/>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 xml:space="preserve">No se presenta ventaja exportadora para el mercado de Estados Unidos.  </w:t>
            </w:r>
          </w:p>
        </w:tc>
      </w:tr>
      <w:tr w:rsidR="00653B39" w:rsidRPr="008E6055" w:rsidTr="00653B39">
        <w:trPr>
          <w:trHeight w:val="300"/>
        </w:trPr>
        <w:tc>
          <w:tcPr>
            <w:tcW w:w="354" w:type="dxa"/>
            <w:shd w:val="clear" w:color="auto" w:fill="auto"/>
            <w:noWrap/>
            <w:vAlign w:val="center"/>
            <w:hideMark/>
          </w:tcPr>
          <w:p w:rsidR="00653B39" w:rsidRPr="008E6055" w:rsidRDefault="00653B39" w:rsidP="00653B39">
            <w:pPr>
              <w:jc w:val="center"/>
              <w:rPr>
                <w:rFonts w:eastAsia="Times New Roman"/>
                <w:color w:val="000000"/>
                <w:sz w:val="18"/>
                <w:szCs w:val="18"/>
                <w:lang w:eastAsia="es-CO"/>
              </w:rPr>
            </w:pPr>
            <w:r w:rsidRPr="008E6055">
              <w:rPr>
                <w:rFonts w:eastAsia="Times New Roman"/>
                <w:color w:val="000000"/>
                <w:sz w:val="18"/>
                <w:szCs w:val="18"/>
                <w:lang w:eastAsia="es-CO"/>
              </w:rPr>
              <w:t>29</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Tendencia exportadora baja, especialmente en el año 2011. Presentó tendencia alta a las exportaciones entre 2007 – 2010.</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Baja ventaja competitiva en el año 2011.  Se ha ganado ventaja competitiva en el mercado de Estados Unidos a partir del año 2008, que disminuyó en el 2011.</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Muy baja competitividad.  Con tendencia a ganar competitividad en el mercado de Estados Unidos especialmente entre 2008 – 2010.</w:t>
            </w:r>
          </w:p>
        </w:tc>
        <w:tc>
          <w:tcPr>
            <w:tcW w:w="2156" w:type="dxa"/>
            <w:shd w:val="clear" w:color="auto" w:fill="auto"/>
            <w:noWrap/>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Se ha ganado ventaja exportadora al mercado de Estados Unidos, especialmente a partir del 2008</w:t>
            </w:r>
            <w:r>
              <w:rPr>
                <w:rFonts w:eastAsia="Times New Roman"/>
                <w:sz w:val="18"/>
                <w:szCs w:val="18"/>
                <w:lang w:eastAsia="es-CO"/>
              </w:rPr>
              <w:t>.</w:t>
            </w:r>
          </w:p>
        </w:tc>
      </w:tr>
      <w:tr w:rsidR="00653B39" w:rsidRPr="008E6055" w:rsidTr="00653B39">
        <w:trPr>
          <w:trHeight w:val="300"/>
        </w:trPr>
        <w:tc>
          <w:tcPr>
            <w:tcW w:w="354" w:type="dxa"/>
            <w:shd w:val="clear" w:color="auto" w:fill="auto"/>
            <w:noWrap/>
            <w:vAlign w:val="center"/>
            <w:hideMark/>
          </w:tcPr>
          <w:p w:rsidR="00653B39" w:rsidRPr="008E6055" w:rsidRDefault="00653B39" w:rsidP="00653B39">
            <w:pPr>
              <w:jc w:val="center"/>
              <w:rPr>
                <w:rFonts w:eastAsia="Times New Roman"/>
                <w:color w:val="000000"/>
                <w:sz w:val="18"/>
                <w:szCs w:val="18"/>
                <w:lang w:eastAsia="es-CO"/>
              </w:rPr>
            </w:pPr>
            <w:r w:rsidRPr="008E6055">
              <w:rPr>
                <w:rFonts w:eastAsia="Times New Roman"/>
                <w:color w:val="000000"/>
                <w:sz w:val="18"/>
                <w:szCs w:val="18"/>
                <w:lang w:eastAsia="es-CO"/>
              </w:rPr>
              <w:t>87</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Tendencia a las importaciones.</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Aumento en la tendencia a las importaciones.</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No presenta ventaja competitiva en el mercado de Estados Unidos.</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Carece de competitividad.  No se presenta ninguna ventaja en el mercado de Estados Unidos entre 2006 – 2011.</w:t>
            </w:r>
          </w:p>
        </w:tc>
        <w:tc>
          <w:tcPr>
            <w:tcW w:w="2156" w:type="dxa"/>
            <w:shd w:val="clear" w:color="auto" w:fill="auto"/>
            <w:noWrap/>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No se presenta ventaja exportador</w:t>
            </w:r>
            <w:r>
              <w:rPr>
                <w:rFonts w:eastAsia="Times New Roman"/>
                <w:sz w:val="18"/>
                <w:szCs w:val="18"/>
                <w:lang w:eastAsia="es-CO"/>
              </w:rPr>
              <w:t>a</w:t>
            </w:r>
            <w:r w:rsidRPr="00E87B8E">
              <w:rPr>
                <w:rFonts w:eastAsia="Times New Roman"/>
                <w:sz w:val="18"/>
                <w:szCs w:val="18"/>
                <w:lang w:eastAsia="es-CO"/>
              </w:rPr>
              <w:t xml:space="preserve"> al mercado de Estados Unidos</w:t>
            </w:r>
            <w:r>
              <w:rPr>
                <w:rFonts w:eastAsia="Times New Roman"/>
                <w:sz w:val="18"/>
                <w:szCs w:val="18"/>
                <w:lang w:eastAsia="es-CO"/>
              </w:rPr>
              <w:t>.</w:t>
            </w:r>
          </w:p>
        </w:tc>
      </w:tr>
      <w:tr w:rsidR="00653B39" w:rsidRPr="008E6055" w:rsidTr="00653B39">
        <w:trPr>
          <w:trHeight w:val="300"/>
        </w:trPr>
        <w:tc>
          <w:tcPr>
            <w:tcW w:w="354" w:type="dxa"/>
            <w:shd w:val="clear" w:color="auto" w:fill="auto"/>
            <w:noWrap/>
            <w:vAlign w:val="center"/>
            <w:hideMark/>
          </w:tcPr>
          <w:p w:rsidR="00653B39" w:rsidRPr="008E6055" w:rsidRDefault="00653B39" w:rsidP="00653B39">
            <w:pPr>
              <w:jc w:val="center"/>
              <w:rPr>
                <w:rFonts w:eastAsia="Times New Roman"/>
                <w:color w:val="000000"/>
                <w:sz w:val="18"/>
                <w:szCs w:val="18"/>
                <w:lang w:eastAsia="es-CO"/>
              </w:rPr>
            </w:pPr>
            <w:r w:rsidRPr="008E6055">
              <w:rPr>
                <w:rFonts w:eastAsia="Times New Roman"/>
                <w:color w:val="000000"/>
                <w:sz w:val="18"/>
                <w:szCs w:val="18"/>
                <w:lang w:eastAsia="es-CO"/>
              </w:rPr>
              <w:t>15</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 xml:space="preserve">Tendencia exportadora media hasta el año 2010.  </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En el año 2011 se presentó tendencia hacia las importaciones.</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El sector no presenta ventaja competitiva en el mercado de Estados Unidos.  En los años 2006 tenía alta ventaja competitiva en el mercado de Estados Unidos, que se perdió.</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Carece de competitividad.  No se presenta ninguna ventaja en el mercado de Estados Unidos entre 2006 – 2011.</w:t>
            </w:r>
          </w:p>
        </w:tc>
        <w:tc>
          <w:tcPr>
            <w:tcW w:w="2156" w:type="dxa"/>
            <w:shd w:val="clear" w:color="auto" w:fill="auto"/>
            <w:noWrap/>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No se presenta ventaja exportadora al mercado de Estados Unidos</w:t>
            </w:r>
            <w:r>
              <w:rPr>
                <w:rFonts w:eastAsia="Times New Roman"/>
                <w:sz w:val="18"/>
                <w:szCs w:val="18"/>
                <w:lang w:eastAsia="es-CO"/>
              </w:rPr>
              <w:t>.</w:t>
            </w:r>
          </w:p>
        </w:tc>
      </w:tr>
      <w:tr w:rsidR="00653B39" w:rsidRPr="008E6055" w:rsidTr="00653B39">
        <w:trPr>
          <w:trHeight w:val="300"/>
        </w:trPr>
        <w:tc>
          <w:tcPr>
            <w:tcW w:w="354" w:type="dxa"/>
            <w:shd w:val="clear" w:color="auto" w:fill="auto"/>
            <w:noWrap/>
            <w:vAlign w:val="center"/>
            <w:hideMark/>
          </w:tcPr>
          <w:p w:rsidR="00653B39" w:rsidRPr="008E6055" w:rsidRDefault="00653B39" w:rsidP="00653B39">
            <w:pPr>
              <w:jc w:val="center"/>
              <w:rPr>
                <w:rFonts w:eastAsia="Times New Roman"/>
                <w:color w:val="000000"/>
                <w:sz w:val="18"/>
                <w:szCs w:val="18"/>
                <w:lang w:eastAsia="es-CO"/>
              </w:rPr>
            </w:pPr>
            <w:r w:rsidRPr="008E6055">
              <w:rPr>
                <w:rFonts w:eastAsia="Times New Roman"/>
                <w:color w:val="000000"/>
                <w:sz w:val="18"/>
                <w:szCs w:val="18"/>
                <w:lang w:eastAsia="es-CO"/>
              </w:rPr>
              <w:t>84</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Alta tendencia a las importaciones.</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Aumento en la tendencia hacia las importaciones.</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No presenta ventaja competitiva en el mercado de Estados Unidos.</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Carece de competitividad. No se presenta ninguna ventaja en el mercado de Estados Unidos entre 2006 – 2011.</w:t>
            </w:r>
          </w:p>
        </w:tc>
        <w:tc>
          <w:tcPr>
            <w:tcW w:w="2156" w:type="dxa"/>
            <w:shd w:val="clear" w:color="auto" w:fill="auto"/>
            <w:noWrap/>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No se presenta ventaja exportadora al mercado de Estados Unidos</w:t>
            </w:r>
            <w:r>
              <w:rPr>
                <w:rFonts w:eastAsia="Times New Roman"/>
                <w:sz w:val="18"/>
                <w:szCs w:val="18"/>
                <w:lang w:eastAsia="es-CO"/>
              </w:rPr>
              <w:t>.</w:t>
            </w:r>
          </w:p>
        </w:tc>
      </w:tr>
      <w:tr w:rsidR="00653B39" w:rsidRPr="008E6055" w:rsidTr="00653B39">
        <w:trPr>
          <w:trHeight w:val="300"/>
        </w:trPr>
        <w:tc>
          <w:tcPr>
            <w:tcW w:w="354" w:type="dxa"/>
            <w:shd w:val="clear" w:color="auto" w:fill="auto"/>
            <w:noWrap/>
            <w:vAlign w:val="center"/>
            <w:hideMark/>
          </w:tcPr>
          <w:p w:rsidR="00653B39" w:rsidRPr="008E6055" w:rsidRDefault="00653B39" w:rsidP="00653B39">
            <w:pPr>
              <w:jc w:val="center"/>
              <w:rPr>
                <w:rFonts w:eastAsia="Times New Roman"/>
                <w:color w:val="000000"/>
                <w:sz w:val="18"/>
                <w:szCs w:val="18"/>
                <w:lang w:eastAsia="es-CO"/>
              </w:rPr>
            </w:pPr>
            <w:r w:rsidRPr="008E6055">
              <w:rPr>
                <w:rFonts w:eastAsia="Times New Roman"/>
                <w:color w:val="000000"/>
                <w:sz w:val="18"/>
                <w:szCs w:val="18"/>
                <w:lang w:eastAsia="es-CO"/>
              </w:rPr>
              <w:lastRenderedPageBreak/>
              <w:t>62</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Muy alta tendencia a las exportaciones.</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Leve disminución en el año 2011.</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Presenta alta ventaja competitiva en el mercado de Estados Unidos, que se ha logrado mantener entre 2006 – 2011.</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 xml:space="preserve">Potencial competitivo mediano.  Ha disminuido levemente el potencial competitivo en el año 2011, respecto a los años anteriores. </w:t>
            </w:r>
          </w:p>
        </w:tc>
        <w:tc>
          <w:tcPr>
            <w:tcW w:w="2156" w:type="dxa"/>
            <w:shd w:val="clear" w:color="auto" w:fill="auto"/>
            <w:noWrap/>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Se presentó ventaja en las exportaciones a Estados Unidos, que disminuyó en el año 2011.</w:t>
            </w:r>
          </w:p>
        </w:tc>
      </w:tr>
      <w:tr w:rsidR="00653B39" w:rsidRPr="008E6055" w:rsidTr="00653B39">
        <w:trPr>
          <w:trHeight w:val="300"/>
        </w:trPr>
        <w:tc>
          <w:tcPr>
            <w:tcW w:w="354" w:type="dxa"/>
            <w:shd w:val="clear" w:color="auto" w:fill="auto"/>
            <w:noWrap/>
            <w:vAlign w:val="center"/>
            <w:hideMark/>
          </w:tcPr>
          <w:p w:rsidR="00653B39" w:rsidRPr="008E6055" w:rsidRDefault="00653B39" w:rsidP="00653B39">
            <w:pPr>
              <w:jc w:val="center"/>
              <w:rPr>
                <w:rFonts w:eastAsia="Times New Roman"/>
                <w:color w:val="000000"/>
                <w:sz w:val="18"/>
                <w:szCs w:val="18"/>
                <w:lang w:eastAsia="es-CO"/>
              </w:rPr>
            </w:pPr>
            <w:r w:rsidRPr="008E6055">
              <w:rPr>
                <w:rFonts w:eastAsia="Times New Roman"/>
                <w:color w:val="000000"/>
                <w:sz w:val="18"/>
                <w:szCs w:val="18"/>
                <w:lang w:eastAsia="es-CO"/>
              </w:rPr>
              <w:t>39</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Alta tendencia a  las importaciones.</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Leve disminución de la tendencia a las importaciones entre 2009 – 2011.</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No presenta ventaja competitiva en el mercado de Estados Unidos.</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Carece de competitividad. No se presenta ninguna ventaja en el mercado de Estados Unidos entre 2006 – 2011.</w:t>
            </w:r>
          </w:p>
        </w:tc>
        <w:tc>
          <w:tcPr>
            <w:tcW w:w="2156" w:type="dxa"/>
            <w:shd w:val="clear" w:color="auto" w:fill="auto"/>
            <w:noWrap/>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 xml:space="preserve">No se presenta ventaja exportadora al mercado de Estados Unidos.  </w:t>
            </w:r>
          </w:p>
        </w:tc>
      </w:tr>
      <w:tr w:rsidR="00653B39" w:rsidRPr="008E6055" w:rsidTr="00653B39">
        <w:trPr>
          <w:trHeight w:val="300"/>
        </w:trPr>
        <w:tc>
          <w:tcPr>
            <w:tcW w:w="354" w:type="dxa"/>
            <w:shd w:val="clear" w:color="auto" w:fill="auto"/>
            <w:noWrap/>
            <w:vAlign w:val="center"/>
            <w:hideMark/>
          </w:tcPr>
          <w:p w:rsidR="00653B39" w:rsidRPr="008E6055" w:rsidRDefault="00653B39" w:rsidP="00653B39">
            <w:pPr>
              <w:jc w:val="center"/>
              <w:rPr>
                <w:rFonts w:eastAsia="Times New Roman"/>
                <w:color w:val="000000"/>
                <w:sz w:val="18"/>
                <w:szCs w:val="18"/>
                <w:lang w:eastAsia="es-CO"/>
              </w:rPr>
            </w:pPr>
            <w:r w:rsidRPr="008E6055">
              <w:rPr>
                <w:rFonts w:eastAsia="Times New Roman"/>
                <w:color w:val="000000"/>
                <w:sz w:val="18"/>
                <w:szCs w:val="18"/>
                <w:lang w:eastAsia="es-CO"/>
              </w:rPr>
              <w:t>64</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 xml:space="preserve">Alta tendencia a las exportaciones hasta el año 2009.  </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Equivalencia entre exportaciones e importaciones en el año 2010.</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Baja tendencia  a las exportaciones en el año 2011</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 xml:space="preserve">Muy alta ventaja competitiva en el mercado de Estados Unidos. </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Se ha mantenido la ventaja competitiva en el mercado de Estados Unidos entre 2006-2011</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 xml:space="preserve">Muy baja competitividad.  No se evidencia ganancia de competitividad entre 2006 – 2011. </w:t>
            </w:r>
          </w:p>
        </w:tc>
        <w:tc>
          <w:tcPr>
            <w:tcW w:w="2156" w:type="dxa"/>
            <w:shd w:val="clear" w:color="auto" w:fill="auto"/>
            <w:noWrap/>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No se presenta ventaja exportadora al mercado de Estados Unidos</w:t>
            </w:r>
            <w:r>
              <w:rPr>
                <w:rFonts w:eastAsia="Times New Roman"/>
                <w:sz w:val="18"/>
                <w:szCs w:val="18"/>
                <w:lang w:eastAsia="es-CO"/>
              </w:rPr>
              <w:t>.</w:t>
            </w:r>
          </w:p>
        </w:tc>
      </w:tr>
      <w:tr w:rsidR="00653B39" w:rsidRPr="008E6055" w:rsidTr="00653B39">
        <w:trPr>
          <w:trHeight w:val="300"/>
        </w:trPr>
        <w:tc>
          <w:tcPr>
            <w:tcW w:w="354" w:type="dxa"/>
            <w:shd w:val="clear" w:color="auto" w:fill="auto"/>
            <w:noWrap/>
            <w:vAlign w:val="center"/>
            <w:hideMark/>
          </w:tcPr>
          <w:p w:rsidR="00653B39" w:rsidRPr="008E6055" w:rsidRDefault="00653B39" w:rsidP="00653B39">
            <w:pPr>
              <w:jc w:val="center"/>
              <w:rPr>
                <w:rFonts w:eastAsia="Times New Roman"/>
                <w:color w:val="000000"/>
                <w:sz w:val="18"/>
                <w:szCs w:val="18"/>
                <w:lang w:eastAsia="es-CO"/>
              </w:rPr>
            </w:pPr>
            <w:r w:rsidRPr="008E6055">
              <w:rPr>
                <w:rFonts w:eastAsia="Times New Roman"/>
                <w:color w:val="000000"/>
                <w:sz w:val="18"/>
                <w:szCs w:val="18"/>
                <w:lang w:eastAsia="es-CO"/>
              </w:rPr>
              <w:t>61</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Alta tendencia a las exportaciones.</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Leve disminución de la tendencia a las exportaciones en el año 2011.</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Presenta buena ventaja competitiva en el mercado de Estados Unidos.  Se presenta disminución de la ventaja competitiva en el 2011 respecto al 2006.</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Muy baja competitividad.  No se evidencia ganancia de competitividad entre 2006 – 2011.</w:t>
            </w:r>
          </w:p>
        </w:tc>
        <w:tc>
          <w:tcPr>
            <w:tcW w:w="2156" w:type="dxa"/>
            <w:shd w:val="clear" w:color="auto" w:fill="auto"/>
            <w:noWrap/>
          </w:tcPr>
          <w:p w:rsidR="00653B39" w:rsidRPr="00E87B8E" w:rsidRDefault="00653B39" w:rsidP="00653B39">
            <w:pPr>
              <w:rPr>
                <w:rFonts w:eastAsia="Times New Roman"/>
                <w:sz w:val="18"/>
                <w:szCs w:val="18"/>
                <w:lang w:eastAsia="es-CO"/>
              </w:rPr>
            </w:pPr>
            <w:r>
              <w:rPr>
                <w:rFonts w:eastAsia="Times New Roman"/>
                <w:sz w:val="18"/>
                <w:szCs w:val="18"/>
                <w:lang w:eastAsia="es-CO"/>
              </w:rPr>
              <w:t>No se</w:t>
            </w:r>
            <w:r w:rsidRPr="00E87B8E">
              <w:rPr>
                <w:rFonts w:eastAsia="Times New Roman"/>
                <w:sz w:val="18"/>
                <w:szCs w:val="18"/>
                <w:lang w:eastAsia="es-CO"/>
              </w:rPr>
              <w:t xml:space="preserve"> presenta ventaja exportadora al mercado de Estados Unidos, con tendencia a la disminución.</w:t>
            </w:r>
          </w:p>
        </w:tc>
      </w:tr>
      <w:tr w:rsidR="00653B39" w:rsidRPr="008E6055" w:rsidTr="00653B39">
        <w:trPr>
          <w:trHeight w:val="300"/>
        </w:trPr>
        <w:tc>
          <w:tcPr>
            <w:tcW w:w="354" w:type="dxa"/>
            <w:shd w:val="clear" w:color="auto" w:fill="auto"/>
            <w:noWrap/>
            <w:vAlign w:val="center"/>
            <w:hideMark/>
          </w:tcPr>
          <w:p w:rsidR="00653B39" w:rsidRPr="008E6055" w:rsidRDefault="00653B39" w:rsidP="00653B39">
            <w:pPr>
              <w:jc w:val="center"/>
              <w:rPr>
                <w:rFonts w:eastAsia="Times New Roman"/>
                <w:color w:val="000000"/>
                <w:sz w:val="18"/>
                <w:szCs w:val="18"/>
                <w:lang w:eastAsia="es-CO"/>
              </w:rPr>
            </w:pPr>
            <w:r w:rsidRPr="008E6055">
              <w:rPr>
                <w:rFonts w:eastAsia="Times New Roman"/>
                <w:color w:val="000000"/>
                <w:sz w:val="18"/>
                <w:szCs w:val="18"/>
                <w:lang w:eastAsia="es-CO"/>
              </w:rPr>
              <w:t>2</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Muy alta tendencia a las exportaciones hasta el año 2009, con alta disminución en el año 2011.</w:t>
            </w:r>
          </w:p>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En el año 2011 es casi equivalente las exportaciones frente a las importaciones.</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No presenta ninguna ventaja competitiva en el mercado de Estados Unidos.</w:t>
            </w:r>
          </w:p>
        </w:tc>
        <w:tc>
          <w:tcPr>
            <w:tcW w:w="2156" w:type="dxa"/>
            <w:shd w:val="clear" w:color="auto" w:fill="auto"/>
            <w:noWrap/>
          </w:tcPr>
          <w:p w:rsidR="00653B39" w:rsidRPr="008E6055" w:rsidRDefault="00653B39" w:rsidP="00653B39">
            <w:pPr>
              <w:rPr>
                <w:rFonts w:eastAsia="Times New Roman"/>
                <w:color w:val="000000"/>
                <w:sz w:val="18"/>
                <w:szCs w:val="18"/>
                <w:lang w:eastAsia="es-CO"/>
              </w:rPr>
            </w:pPr>
            <w:r w:rsidRPr="008E6055">
              <w:rPr>
                <w:rFonts w:eastAsia="Times New Roman"/>
                <w:color w:val="000000"/>
                <w:sz w:val="18"/>
                <w:szCs w:val="18"/>
                <w:lang w:eastAsia="es-CO"/>
              </w:rPr>
              <w:t>Carece de competitividad. No se presenta ninguna ventaja en el mercado de Estados Unidos entre 2006 – 2011.</w:t>
            </w:r>
          </w:p>
        </w:tc>
        <w:tc>
          <w:tcPr>
            <w:tcW w:w="2156" w:type="dxa"/>
            <w:shd w:val="clear" w:color="auto" w:fill="auto"/>
            <w:noWrap/>
          </w:tcPr>
          <w:p w:rsidR="00653B39" w:rsidRPr="00E87B8E" w:rsidRDefault="00653B39" w:rsidP="00653B39">
            <w:pPr>
              <w:rPr>
                <w:rFonts w:eastAsia="Times New Roman"/>
                <w:sz w:val="18"/>
                <w:szCs w:val="18"/>
                <w:lang w:eastAsia="es-CO"/>
              </w:rPr>
            </w:pPr>
            <w:r w:rsidRPr="00E87B8E">
              <w:rPr>
                <w:rFonts w:eastAsia="Times New Roman"/>
                <w:sz w:val="18"/>
                <w:szCs w:val="18"/>
                <w:lang w:eastAsia="es-CO"/>
              </w:rPr>
              <w:t>No se presenta ventaja exportadora al mercado de Estados Unidos</w:t>
            </w:r>
            <w:r>
              <w:rPr>
                <w:rFonts w:eastAsia="Times New Roman"/>
                <w:sz w:val="18"/>
                <w:szCs w:val="18"/>
                <w:lang w:eastAsia="es-CO"/>
              </w:rPr>
              <w:t>.</w:t>
            </w:r>
          </w:p>
        </w:tc>
      </w:tr>
    </w:tbl>
    <w:p w:rsidR="00653B39" w:rsidRDefault="00653B39" w:rsidP="00653B39">
      <w:pPr>
        <w:rPr>
          <w:sz w:val="18"/>
          <w:szCs w:val="18"/>
        </w:rPr>
      </w:pPr>
      <w:r>
        <w:rPr>
          <w:sz w:val="18"/>
          <w:szCs w:val="18"/>
        </w:rPr>
        <w:t>Elaboración de los autores.</w:t>
      </w:r>
    </w:p>
    <w:p w:rsidR="00653B39" w:rsidRDefault="00653B39" w:rsidP="00653B39">
      <w:pPr>
        <w:rPr>
          <w:sz w:val="18"/>
          <w:szCs w:val="18"/>
        </w:rPr>
      </w:pPr>
    </w:p>
    <w:p w:rsidR="00653B39" w:rsidRPr="00206525" w:rsidRDefault="00653B39" w:rsidP="0096159F">
      <w:r w:rsidRPr="00206525">
        <w:t xml:space="preserve">El conjunto de indicadores de dinamismo comercial reflejan el comportamiento de las exportaciones de un sector frente a las importaciones y frente al resto de exportaciones de la región.  Sobre la Balanza comercial sectorial, se aprecia que hay sectores con muy alta tendencia exportadora con referencia especialmente al año 2011, como el capítulo 27, 9, 61, 62; el capítulo 64 y 71  presentaron alta tendencia exportadora hasta el año 2010, y se presentó un cambio de dicha tendencia en el año 2011.  </w:t>
      </w:r>
    </w:p>
    <w:p w:rsidR="00653B39" w:rsidRPr="00206525" w:rsidRDefault="00653B39" w:rsidP="00653B39"/>
    <w:p w:rsidR="00653B39" w:rsidRPr="00206525" w:rsidRDefault="00653B39" w:rsidP="0096159F">
      <w:r w:rsidRPr="00206525">
        <w:t>Otros sectores exportadores de Santander, presentan baja tendencia exportadora, como los capítulos 29, 87, 15,</w:t>
      </w:r>
      <w:r>
        <w:t xml:space="preserve"> </w:t>
      </w:r>
      <w:r w:rsidRPr="00206525">
        <w:t>84 y  39 donde, en algunos años, se presenta balanza comercial relativa sectorial negativa.</w:t>
      </w:r>
    </w:p>
    <w:p w:rsidR="00653B39" w:rsidRPr="00206525" w:rsidRDefault="00653B39" w:rsidP="00653B39"/>
    <w:p w:rsidR="00653B39" w:rsidRPr="00206525" w:rsidRDefault="00653B39" w:rsidP="0096159F">
      <w:r w:rsidRPr="00206525">
        <w:t xml:space="preserve">El conjunto de indicadores de ventaja comparativa revelada se hacen respecto a las exportaciones de cada capítulo, de Santander a Estados Unidos.  </w:t>
      </w:r>
    </w:p>
    <w:p w:rsidR="00653B39" w:rsidRPr="00206525" w:rsidRDefault="00653B39" w:rsidP="00653B39"/>
    <w:p w:rsidR="00653B39" w:rsidRPr="00206525" w:rsidRDefault="00653B39" w:rsidP="0096159F">
      <w:r w:rsidRPr="00206525">
        <w:lastRenderedPageBreak/>
        <w:t xml:space="preserve">Los indicadores de dinámica comercial están expresando el desempeño que ha tenido el sector con relación a las importaciones y a los demás sectores exportadores.  </w:t>
      </w:r>
    </w:p>
    <w:p w:rsidR="00AB7177" w:rsidRPr="00025ABF" w:rsidRDefault="00950EA8" w:rsidP="00AB7177">
      <w:pPr>
        <w:shd w:val="clear" w:color="auto" w:fill="FFFFFF"/>
        <w:spacing w:before="100" w:beforeAutospacing="1" w:after="100" w:afterAutospacing="1"/>
        <w:rPr>
          <w:rFonts w:eastAsia="Times New Roman" w:cs="Arial"/>
          <w:b/>
          <w:bCs/>
          <w:color w:val="212121"/>
          <w:lang w:val="es-US" w:eastAsia="es-CO"/>
        </w:rPr>
      </w:pPr>
      <w:r w:rsidRPr="00025ABF">
        <w:rPr>
          <w:rFonts w:eastAsia="Times New Roman" w:cs="Arial"/>
          <w:b/>
          <w:bCs/>
          <w:color w:val="212121"/>
          <w:lang w:val="es-US" w:eastAsia="es-CO"/>
        </w:rPr>
        <w:t>Conclusiones. </w:t>
      </w:r>
    </w:p>
    <w:p w:rsidR="00950EA8" w:rsidRDefault="00AB7177" w:rsidP="00AB7177">
      <w:pPr>
        <w:shd w:val="clear" w:color="auto" w:fill="FFFFFF"/>
        <w:spacing w:before="100" w:beforeAutospacing="1" w:after="100" w:afterAutospacing="1"/>
        <w:rPr>
          <w:rFonts w:eastAsia="Times New Roman" w:cs="Arial"/>
          <w:bCs/>
          <w:color w:val="212121"/>
          <w:lang w:val="es-US" w:eastAsia="es-CO"/>
        </w:rPr>
      </w:pPr>
      <w:r w:rsidRPr="00025ABF">
        <w:rPr>
          <w:rFonts w:eastAsia="Times New Roman" w:cs="Arial"/>
          <w:bCs/>
          <w:color w:val="212121"/>
          <w:lang w:val="es-US" w:eastAsia="es-CO"/>
        </w:rPr>
        <w:t xml:space="preserve">El desempeño de la dinámica del comercio exterior se puede interpretar a partir de indicadores, que permitan reflejar el comportamiento y posicionamiento </w:t>
      </w:r>
      <w:r w:rsidR="00025ABF">
        <w:rPr>
          <w:rFonts w:eastAsia="Times New Roman" w:cs="Arial"/>
          <w:bCs/>
          <w:color w:val="212121"/>
          <w:lang w:val="es-US" w:eastAsia="es-CO"/>
        </w:rPr>
        <w:t>competitivo de los sectores económicos en mercados externos.</w:t>
      </w:r>
    </w:p>
    <w:p w:rsidR="00025ABF" w:rsidRDefault="00025ABF" w:rsidP="00AB7177">
      <w:pPr>
        <w:shd w:val="clear" w:color="auto" w:fill="FFFFFF"/>
        <w:spacing w:before="100" w:beforeAutospacing="1" w:after="100" w:afterAutospacing="1"/>
        <w:rPr>
          <w:rFonts w:eastAsia="Times New Roman" w:cs="Arial"/>
          <w:bCs/>
          <w:color w:val="212121"/>
          <w:lang w:val="es-US" w:eastAsia="es-CO"/>
        </w:rPr>
      </w:pPr>
      <w:r>
        <w:rPr>
          <w:rFonts w:eastAsia="Times New Roman" w:cs="Arial"/>
          <w:bCs/>
          <w:color w:val="212121"/>
          <w:lang w:val="es-US" w:eastAsia="es-CO"/>
        </w:rPr>
        <w:t xml:space="preserve">Son diversos los indicadores dentro de la familia de indicadores de Balanza comercial relativa.  Cada uno propone relaciones diferentes, pero se parte de los mismos datos, todos establecen operaciones relativas entre exportaciones e importaciones, pero tienen en común que dan un reflejo bastante aproximado a la situación real del sector en un mercado específico.  </w:t>
      </w:r>
    </w:p>
    <w:p w:rsidR="00025ABF" w:rsidRDefault="00025ABF" w:rsidP="00AB7177">
      <w:pPr>
        <w:shd w:val="clear" w:color="auto" w:fill="FFFFFF"/>
        <w:spacing w:before="100" w:beforeAutospacing="1" w:after="100" w:afterAutospacing="1"/>
        <w:rPr>
          <w:rFonts w:eastAsia="Times New Roman" w:cs="Arial"/>
          <w:bCs/>
          <w:color w:val="212121"/>
          <w:lang w:val="es-US" w:eastAsia="es-CO"/>
        </w:rPr>
      </w:pPr>
      <w:r>
        <w:rPr>
          <w:rFonts w:eastAsia="Times New Roman" w:cs="Arial"/>
          <w:bCs/>
          <w:color w:val="212121"/>
          <w:lang w:val="es-US" w:eastAsia="es-CO"/>
        </w:rPr>
        <w:t>Actualmente, con la alta disponibilidad de información estadística sobre el comercio exterior, los indicadores de posicionamiento y dinamismo comercial permiten hacer un seguimiento de cada sector en cada uno de los mercados específicos a donde dirigen las exportaciones.</w:t>
      </w:r>
    </w:p>
    <w:p w:rsidR="00025ABF" w:rsidRDefault="00025ABF" w:rsidP="00AB7177">
      <w:pPr>
        <w:shd w:val="clear" w:color="auto" w:fill="FFFFFF"/>
        <w:spacing w:before="100" w:beforeAutospacing="1" w:after="100" w:afterAutospacing="1"/>
        <w:rPr>
          <w:rFonts w:eastAsia="Times New Roman" w:cs="Arial"/>
          <w:bCs/>
          <w:color w:val="212121"/>
          <w:lang w:val="es-US" w:eastAsia="es-CO"/>
        </w:rPr>
      </w:pPr>
      <w:r>
        <w:rPr>
          <w:rFonts w:eastAsia="Times New Roman" w:cs="Arial"/>
          <w:bCs/>
          <w:color w:val="212121"/>
          <w:lang w:val="es-US" w:eastAsia="es-CO"/>
        </w:rPr>
        <w:t>Se recomienda el uso de los cuatro indicadores en su conjunto para la integralidad de la evaluación del posicionamiento competitivo del sector.</w:t>
      </w:r>
    </w:p>
    <w:p w:rsidR="00025ABF" w:rsidRPr="0098124C" w:rsidRDefault="00025ABF" w:rsidP="0098124C">
      <w:pPr>
        <w:shd w:val="clear" w:color="auto" w:fill="FFFFFF"/>
        <w:spacing w:before="100" w:beforeAutospacing="1" w:after="100" w:afterAutospacing="1"/>
        <w:rPr>
          <w:rFonts w:cs="Arial"/>
        </w:rPr>
      </w:pPr>
      <w:r>
        <w:rPr>
          <w:rFonts w:eastAsia="Times New Roman" w:cs="Arial"/>
          <w:bCs/>
          <w:color w:val="212121"/>
          <w:lang w:val="es-US" w:eastAsia="es-CO"/>
        </w:rPr>
        <w:t>Dentro del ejercicio de aplicación de los indicadores al caso de Santander, y el comportamiento de cada sector en el mercado de Estados</w:t>
      </w:r>
      <w:r w:rsidR="0098124C">
        <w:rPr>
          <w:rFonts w:eastAsia="Times New Roman" w:cs="Arial"/>
          <w:bCs/>
          <w:color w:val="212121"/>
          <w:lang w:val="es-US" w:eastAsia="es-CO"/>
        </w:rPr>
        <w:t xml:space="preserve"> Unidos, se puede apreciar que: </w:t>
      </w:r>
    </w:p>
    <w:p w:rsidR="00025ABF" w:rsidRPr="0098124C" w:rsidRDefault="00025ABF" w:rsidP="0098124C">
      <w:pPr>
        <w:pStyle w:val="Prrafodelista"/>
        <w:numPr>
          <w:ilvl w:val="0"/>
          <w:numId w:val="29"/>
        </w:numPr>
        <w:ind w:left="284" w:hanging="284"/>
        <w:rPr>
          <w:rFonts w:cs="Arial"/>
        </w:rPr>
      </w:pPr>
      <w:r w:rsidRPr="0098124C">
        <w:rPr>
          <w:rFonts w:cs="Arial"/>
        </w:rPr>
        <w:t>El 86,6% de las exportaciones de Santander en el año 2011 corresponde a commodities sin ningún tipo de transformación industrial o valor agregado.</w:t>
      </w:r>
    </w:p>
    <w:p w:rsidR="00025ABF" w:rsidRPr="0098124C" w:rsidRDefault="00025ABF" w:rsidP="0098124C">
      <w:pPr>
        <w:pStyle w:val="Prrafodelista"/>
        <w:ind w:left="284" w:hanging="284"/>
        <w:rPr>
          <w:rFonts w:cs="Arial"/>
        </w:rPr>
      </w:pPr>
    </w:p>
    <w:p w:rsidR="00025ABF" w:rsidRPr="0098124C" w:rsidRDefault="00025ABF" w:rsidP="0098124C">
      <w:pPr>
        <w:pStyle w:val="Prrafodelista"/>
        <w:numPr>
          <w:ilvl w:val="0"/>
          <w:numId w:val="29"/>
        </w:numPr>
        <w:ind w:left="284" w:hanging="284"/>
        <w:rPr>
          <w:rFonts w:cs="Arial"/>
        </w:rPr>
      </w:pPr>
      <w:r w:rsidRPr="0098124C">
        <w:rPr>
          <w:rFonts w:cs="Arial"/>
        </w:rPr>
        <w:t>Tan solo el 13.4% de las exportaciones de Santander son realizadas por el sector industrial del departamento, lo cual puede estar llevando a una desindustrialización del departamento en el periodo 2006-2011.</w:t>
      </w:r>
    </w:p>
    <w:p w:rsidR="00025ABF" w:rsidRPr="0098124C" w:rsidRDefault="00025ABF" w:rsidP="0098124C">
      <w:pPr>
        <w:pStyle w:val="Prrafodelista"/>
        <w:ind w:left="284" w:hanging="284"/>
        <w:rPr>
          <w:rFonts w:cs="Arial"/>
        </w:rPr>
      </w:pPr>
    </w:p>
    <w:p w:rsidR="00025ABF" w:rsidRPr="0098124C" w:rsidRDefault="00025ABF" w:rsidP="0098124C">
      <w:pPr>
        <w:pStyle w:val="Prrafodelista"/>
        <w:numPr>
          <w:ilvl w:val="0"/>
          <w:numId w:val="29"/>
        </w:numPr>
        <w:ind w:left="284" w:hanging="284"/>
        <w:rPr>
          <w:rFonts w:cs="Arial"/>
        </w:rPr>
      </w:pPr>
      <w:r w:rsidRPr="0098124C">
        <w:rPr>
          <w:rFonts w:cs="Arial"/>
        </w:rPr>
        <w:t>Las exportaciones del capítulo arancelario correspondiente a las piedras preciosas tiene una caída del 100% en el periodo, donde estaban dirigidas exclusivamente al mercado de Suiza con los productos de oro en bruto y oro en polvo.</w:t>
      </w:r>
    </w:p>
    <w:p w:rsidR="00025ABF" w:rsidRPr="0098124C" w:rsidRDefault="00025ABF" w:rsidP="0098124C">
      <w:pPr>
        <w:pStyle w:val="Prrafodelista"/>
        <w:ind w:left="284" w:hanging="284"/>
        <w:rPr>
          <w:rFonts w:cs="Arial"/>
        </w:rPr>
      </w:pPr>
    </w:p>
    <w:p w:rsidR="00025ABF" w:rsidRPr="0098124C" w:rsidRDefault="00025ABF" w:rsidP="0098124C">
      <w:pPr>
        <w:pStyle w:val="Prrafodelista"/>
        <w:numPr>
          <w:ilvl w:val="0"/>
          <w:numId w:val="29"/>
        </w:numPr>
        <w:ind w:left="284" w:hanging="284"/>
        <w:rPr>
          <w:rFonts w:cs="Arial"/>
        </w:rPr>
      </w:pPr>
      <w:r w:rsidRPr="0098124C">
        <w:rPr>
          <w:rFonts w:cs="Arial"/>
        </w:rPr>
        <w:t>Las exportaciones del capitulo 2 (Carnes y despojos comestibles) estuvieron dirigidas exclusivamente al mercado Venezolano entre los años 2006 y 2009 con carne de res. Entre los años 2009 y 2011 el producto que exporta el capitulo son despojos de aves exclusivamente hacia el mercado de Honk Kong.</w:t>
      </w:r>
    </w:p>
    <w:p w:rsidR="00025ABF" w:rsidRPr="0098124C" w:rsidRDefault="00025ABF" w:rsidP="0098124C">
      <w:pPr>
        <w:pStyle w:val="Prrafodelista"/>
        <w:ind w:left="284" w:hanging="284"/>
        <w:rPr>
          <w:rFonts w:cs="Arial"/>
        </w:rPr>
      </w:pPr>
    </w:p>
    <w:p w:rsidR="00025ABF" w:rsidRPr="0098124C" w:rsidRDefault="00025ABF" w:rsidP="0098124C">
      <w:pPr>
        <w:pStyle w:val="Prrafodelista"/>
        <w:numPr>
          <w:ilvl w:val="0"/>
          <w:numId w:val="29"/>
        </w:numPr>
        <w:ind w:left="284" w:hanging="284"/>
        <w:rPr>
          <w:rFonts w:cs="Arial"/>
        </w:rPr>
      </w:pPr>
      <w:r w:rsidRPr="0098124C">
        <w:rPr>
          <w:rFonts w:cs="Arial"/>
        </w:rPr>
        <w:lastRenderedPageBreak/>
        <w:t>El monto máximo en las exportaciones se obtuvo en el año 2009 con US$ 678.946 teniendo una participación en las exportaciones de tan solo el 2.1%</w:t>
      </w:r>
    </w:p>
    <w:p w:rsidR="00025ABF" w:rsidRPr="0098124C" w:rsidRDefault="00025ABF" w:rsidP="0098124C">
      <w:pPr>
        <w:pStyle w:val="Prrafodelista"/>
        <w:ind w:left="284" w:hanging="284"/>
        <w:rPr>
          <w:rFonts w:cs="Arial"/>
        </w:rPr>
      </w:pPr>
    </w:p>
    <w:p w:rsidR="00025ABF" w:rsidRPr="0098124C" w:rsidRDefault="00025ABF" w:rsidP="0098124C">
      <w:pPr>
        <w:pStyle w:val="Prrafodelista"/>
        <w:numPr>
          <w:ilvl w:val="0"/>
          <w:numId w:val="29"/>
        </w:numPr>
        <w:ind w:left="284" w:hanging="284"/>
        <w:rPr>
          <w:rFonts w:cs="Arial"/>
        </w:rPr>
      </w:pPr>
      <w:r w:rsidRPr="0098124C">
        <w:rPr>
          <w:rFonts w:cs="Arial"/>
        </w:rPr>
        <w:t>Las exportaciones de Santander en el periodo 2006-2011 no exceden los US$ 678.946 cifra poco representativa en el contexto nacional.</w:t>
      </w:r>
    </w:p>
    <w:p w:rsidR="00025ABF" w:rsidRPr="0098124C" w:rsidRDefault="00025ABF" w:rsidP="0098124C">
      <w:pPr>
        <w:pStyle w:val="Prrafodelista"/>
        <w:ind w:left="284" w:hanging="284"/>
        <w:rPr>
          <w:rFonts w:cs="Arial"/>
        </w:rPr>
      </w:pPr>
    </w:p>
    <w:p w:rsidR="00025ABF" w:rsidRPr="0098124C" w:rsidRDefault="00025ABF" w:rsidP="0098124C">
      <w:pPr>
        <w:pStyle w:val="Prrafodelista"/>
        <w:numPr>
          <w:ilvl w:val="0"/>
          <w:numId w:val="29"/>
        </w:numPr>
        <w:ind w:left="284" w:hanging="284"/>
        <w:rPr>
          <w:rFonts w:cs="Arial"/>
        </w:rPr>
      </w:pPr>
      <w:r w:rsidRPr="0098124C">
        <w:rPr>
          <w:rFonts w:cs="Arial"/>
        </w:rPr>
        <w:t>En todos los destinos de exportación de Santander hubo un incremento representativo en los montos exportados a excepción de los mercados de Venezuela y Suiza donde se presenta una caída en el 50% y 100% respectivamente entre los años 2006 y 2011.</w:t>
      </w:r>
    </w:p>
    <w:p w:rsidR="00025ABF" w:rsidRPr="0098124C" w:rsidRDefault="00025ABF" w:rsidP="0098124C">
      <w:pPr>
        <w:pStyle w:val="Prrafodelista"/>
        <w:ind w:left="284" w:hanging="284"/>
        <w:rPr>
          <w:rFonts w:cs="Arial"/>
        </w:rPr>
      </w:pPr>
    </w:p>
    <w:p w:rsidR="0098124C" w:rsidRPr="0098124C" w:rsidRDefault="00025ABF" w:rsidP="0098124C">
      <w:pPr>
        <w:pStyle w:val="Prrafodelista"/>
        <w:numPr>
          <w:ilvl w:val="0"/>
          <w:numId w:val="29"/>
        </w:numPr>
        <w:ind w:left="284" w:hanging="284"/>
        <w:rPr>
          <w:rFonts w:cs="Arial"/>
        </w:rPr>
      </w:pPr>
      <w:r w:rsidRPr="0098124C">
        <w:rPr>
          <w:rFonts w:cs="Arial"/>
        </w:rPr>
        <w:t>La caída en las ventas hacia el mercado Venezolano entre los años 2009 y 2011 fueron  del monto de US$ 317.000, pasando de vender US$340,000 en el año 2009 a tan solo US$ 23.000.  Esta caída en las ventas en el mercado Venezolano ocasiono una diversificación de las exportaciones hacia nuevos mercados en los años 2009 y 2011.</w:t>
      </w:r>
    </w:p>
    <w:p w:rsidR="00025ABF" w:rsidRPr="0098124C" w:rsidRDefault="00025ABF" w:rsidP="0098124C">
      <w:pPr>
        <w:pStyle w:val="Prrafodelista"/>
        <w:numPr>
          <w:ilvl w:val="0"/>
          <w:numId w:val="29"/>
        </w:numPr>
        <w:ind w:left="284" w:hanging="284"/>
        <w:rPr>
          <w:rFonts w:cs="Arial"/>
        </w:rPr>
      </w:pPr>
      <w:r w:rsidRPr="0098124C">
        <w:rPr>
          <w:rFonts w:cs="Arial"/>
        </w:rPr>
        <w:t>Los capítulos arancelarios 9 (Café) y 2 (Carne y despojos comestibles) son los que tienen una mejor tendencia exportadora según los resultados arrojados tras la aplicación del índice de ventaja relativa sectorial.</w:t>
      </w:r>
    </w:p>
    <w:p w:rsidR="00025ABF" w:rsidRPr="0098124C" w:rsidRDefault="00025ABF" w:rsidP="0098124C">
      <w:pPr>
        <w:rPr>
          <w:rFonts w:cs="Arial"/>
        </w:rPr>
      </w:pPr>
    </w:p>
    <w:p w:rsidR="00025ABF" w:rsidRPr="0098124C" w:rsidRDefault="00025ABF" w:rsidP="0098124C">
      <w:pPr>
        <w:pStyle w:val="Prrafodelista"/>
        <w:numPr>
          <w:ilvl w:val="0"/>
          <w:numId w:val="29"/>
        </w:numPr>
        <w:ind w:left="284" w:hanging="284"/>
        <w:rPr>
          <w:rFonts w:cs="Arial"/>
        </w:rPr>
      </w:pPr>
      <w:r w:rsidRPr="0098124C">
        <w:rPr>
          <w:rFonts w:cs="Arial"/>
        </w:rPr>
        <w:t>Los capítulos 84 (Maquinas) es el que tiene una mayor tendencia exportadora basado en el índice de ventaja relativa sectorial.</w:t>
      </w:r>
    </w:p>
    <w:p w:rsidR="00025ABF" w:rsidRPr="0098124C" w:rsidRDefault="00025ABF" w:rsidP="0098124C">
      <w:pPr>
        <w:pStyle w:val="Prrafodelista"/>
        <w:ind w:left="284" w:hanging="284"/>
        <w:rPr>
          <w:rFonts w:cs="Arial"/>
        </w:rPr>
      </w:pPr>
    </w:p>
    <w:p w:rsidR="00025ABF" w:rsidRPr="0098124C" w:rsidRDefault="00025ABF" w:rsidP="0098124C">
      <w:pPr>
        <w:pStyle w:val="Prrafodelista"/>
        <w:numPr>
          <w:ilvl w:val="0"/>
          <w:numId w:val="29"/>
        </w:numPr>
        <w:ind w:left="284" w:hanging="284"/>
        <w:rPr>
          <w:rFonts w:cs="Arial"/>
        </w:rPr>
      </w:pPr>
      <w:r w:rsidRPr="0098124C">
        <w:rPr>
          <w:rFonts w:cs="Arial"/>
        </w:rPr>
        <w:t>Los capítulos arancelarios 9 (Café) y 64 (Calzado) son los que tienen una mejor tendencia exportadora en el mercado Norteamericano en el periodo 2006-2011</w:t>
      </w:r>
    </w:p>
    <w:p w:rsidR="00025ABF" w:rsidRPr="00025ABF" w:rsidRDefault="00025ABF" w:rsidP="00AB7177">
      <w:pPr>
        <w:shd w:val="clear" w:color="auto" w:fill="FFFFFF"/>
        <w:spacing w:before="100" w:beforeAutospacing="1" w:after="100" w:afterAutospacing="1"/>
        <w:rPr>
          <w:rFonts w:eastAsia="Times New Roman" w:cs="Arial"/>
          <w:bCs/>
          <w:color w:val="212121"/>
          <w:lang w:eastAsia="es-CO"/>
        </w:rPr>
      </w:pPr>
    </w:p>
    <w:p w:rsidR="009355E8" w:rsidRPr="008572E5" w:rsidRDefault="009355E8" w:rsidP="009355E8">
      <w:pPr>
        <w:rPr>
          <w:rFonts w:cs="Arial"/>
        </w:rPr>
      </w:pPr>
    </w:p>
    <w:p w:rsidR="009355E8" w:rsidRPr="008572E5" w:rsidRDefault="009355E8" w:rsidP="009355E8">
      <w:pPr>
        <w:rPr>
          <w:rFonts w:cs="Arial"/>
          <w:b/>
        </w:rPr>
      </w:pPr>
      <w:r w:rsidRPr="008572E5">
        <w:rPr>
          <w:rFonts w:cs="Arial"/>
          <w:b/>
        </w:rPr>
        <w:t>Referencias bibliográficas</w:t>
      </w:r>
    </w:p>
    <w:p w:rsidR="009355E8" w:rsidRPr="008572E5" w:rsidRDefault="009355E8" w:rsidP="009355E8">
      <w:pPr>
        <w:jc w:val="center"/>
        <w:rPr>
          <w:rFonts w:cs="Arial"/>
          <w:b/>
        </w:rPr>
      </w:pPr>
    </w:p>
    <w:p w:rsidR="009355E8" w:rsidRPr="00C239C8" w:rsidRDefault="009355E8" w:rsidP="009355E8">
      <w:pPr>
        <w:rPr>
          <w:rFonts w:cs="Arial"/>
          <w:b/>
          <w:noProof/>
          <w:lang w:eastAsia="es-CO"/>
        </w:rPr>
      </w:pPr>
    </w:p>
    <w:p w:rsidR="009355E8" w:rsidRDefault="009355E8" w:rsidP="009355E8">
      <w:pPr>
        <w:autoSpaceDE w:val="0"/>
        <w:autoSpaceDN w:val="0"/>
        <w:adjustRightInd w:val="0"/>
        <w:rPr>
          <w:rFonts w:cs="Arial"/>
        </w:rPr>
      </w:pPr>
      <w:r w:rsidRPr="00C239C8">
        <w:rPr>
          <w:rFonts w:cs="Arial"/>
        </w:rPr>
        <w:t xml:space="preserve">Alonso J. A. y Donoso V. (1994).  La competitividad de la empresa exportadora española.  ICEX.  Madrid. </w:t>
      </w:r>
    </w:p>
    <w:p w:rsidR="009355E8" w:rsidRPr="00C239C8" w:rsidRDefault="009355E8" w:rsidP="009355E8">
      <w:pPr>
        <w:autoSpaceDE w:val="0"/>
        <w:autoSpaceDN w:val="0"/>
        <w:adjustRightInd w:val="0"/>
        <w:rPr>
          <w:rFonts w:cs="Arial"/>
        </w:rPr>
      </w:pPr>
    </w:p>
    <w:p w:rsidR="009355E8" w:rsidRDefault="009355E8" w:rsidP="009355E8">
      <w:pPr>
        <w:autoSpaceDE w:val="0"/>
        <w:autoSpaceDN w:val="0"/>
        <w:adjustRightInd w:val="0"/>
        <w:rPr>
          <w:rFonts w:cs="Arial"/>
        </w:rPr>
      </w:pPr>
      <w:r w:rsidRPr="00C239C8">
        <w:rPr>
          <w:rFonts w:cs="Arial"/>
        </w:rPr>
        <w:t xml:space="preserve">Andrés María F, y Salvaj Erica (2011). “La internacionalización acelerada en Pymes de reciente creación” I Congreso de la Red de Integración Latinoamericana 2011 Universidad Nacional del Litoral, Santafé Argentina. Consultado en: </w:t>
      </w:r>
      <w:hyperlink r:id="rId9" w:history="1">
        <w:r w:rsidRPr="00B622EB">
          <w:rPr>
            <w:rStyle w:val="Hipervnculo"/>
            <w:rFonts w:cs="Arial"/>
          </w:rPr>
          <w:t>http://www.uncu.edu.ar/relacionesinternacionales/upload/redilaeje54.pdf</w:t>
        </w:r>
      </w:hyperlink>
    </w:p>
    <w:p w:rsidR="009355E8" w:rsidRPr="00C239C8" w:rsidRDefault="009355E8" w:rsidP="009355E8">
      <w:pPr>
        <w:autoSpaceDE w:val="0"/>
        <w:autoSpaceDN w:val="0"/>
        <w:adjustRightInd w:val="0"/>
        <w:rPr>
          <w:rFonts w:cs="Arial"/>
        </w:rPr>
      </w:pPr>
    </w:p>
    <w:p w:rsidR="009355E8" w:rsidRDefault="009355E8" w:rsidP="009355E8">
      <w:pPr>
        <w:autoSpaceDE w:val="0"/>
        <w:autoSpaceDN w:val="0"/>
        <w:adjustRightInd w:val="0"/>
        <w:rPr>
          <w:rFonts w:cs="Arial"/>
        </w:rPr>
      </w:pPr>
      <w:r w:rsidRPr="00C239C8">
        <w:rPr>
          <w:rFonts w:cs="Arial"/>
          <w:lang w:val="en-US"/>
        </w:rPr>
        <w:t xml:space="preserve">Barney J.B. (1991), Firm resources and sustained competitive advantage. </w:t>
      </w:r>
      <w:r w:rsidRPr="00C239C8">
        <w:rPr>
          <w:rFonts w:cs="Arial"/>
        </w:rPr>
        <w:t>Journal of Management, Vol 17 N. 1</w:t>
      </w:r>
    </w:p>
    <w:p w:rsidR="009355E8" w:rsidRPr="00C239C8" w:rsidRDefault="009355E8" w:rsidP="009355E8">
      <w:pPr>
        <w:autoSpaceDE w:val="0"/>
        <w:autoSpaceDN w:val="0"/>
        <w:adjustRightInd w:val="0"/>
        <w:rPr>
          <w:rFonts w:cs="Arial"/>
        </w:rPr>
      </w:pPr>
    </w:p>
    <w:p w:rsidR="009355E8" w:rsidRPr="00C239C8" w:rsidRDefault="009355E8" w:rsidP="009355E8">
      <w:pPr>
        <w:autoSpaceDE w:val="0"/>
        <w:autoSpaceDN w:val="0"/>
        <w:adjustRightInd w:val="0"/>
        <w:rPr>
          <w:rFonts w:cs="Arial"/>
          <w:color w:val="000000"/>
        </w:rPr>
      </w:pPr>
      <w:r w:rsidRPr="00C239C8">
        <w:rPr>
          <w:rFonts w:cs="Arial"/>
          <w:color w:val="000000"/>
        </w:rPr>
        <w:t xml:space="preserve">Claver, Enrique y Diego Quer (2001).  “La dirección estratégica de la internacionalización de la empresa: propuesta de un marco teórico integrador”. </w:t>
      </w:r>
      <w:r w:rsidRPr="00C239C8">
        <w:rPr>
          <w:rFonts w:cs="Arial"/>
          <w:iCs/>
          <w:color w:val="000000"/>
        </w:rPr>
        <w:t xml:space="preserve">Información Comercial Española, </w:t>
      </w:r>
      <w:r>
        <w:rPr>
          <w:color w:val="000000"/>
        </w:rPr>
        <w:t>No. 794</w:t>
      </w:r>
      <w:r w:rsidRPr="00C239C8">
        <w:rPr>
          <w:rFonts w:cs="Arial"/>
          <w:color w:val="000000"/>
        </w:rPr>
        <w:t>.</w:t>
      </w:r>
    </w:p>
    <w:p w:rsidR="009355E8" w:rsidRPr="00C239C8" w:rsidRDefault="009355E8" w:rsidP="009355E8">
      <w:pPr>
        <w:pStyle w:val="Textonotapie"/>
        <w:rPr>
          <w:rFonts w:cs="Arial"/>
          <w:sz w:val="24"/>
          <w:szCs w:val="24"/>
        </w:rPr>
      </w:pPr>
      <w:r w:rsidRPr="009355E8">
        <w:rPr>
          <w:rFonts w:cs="Arial"/>
          <w:sz w:val="24"/>
          <w:szCs w:val="24"/>
        </w:rPr>
        <w:lastRenderedPageBreak/>
        <w:t xml:space="preserve">Daniels John y Radebaugh Lee (2000). </w:t>
      </w:r>
      <w:r w:rsidRPr="00C239C8">
        <w:rPr>
          <w:rFonts w:cs="Arial"/>
          <w:i/>
          <w:sz w:val="24"/>
          <w:szCs w:val="24"/>
        </w:rPr>
        <w:t>Negocios internacionales</w:t>
      </w:r>
      <w:r w:rsidRPr="00C239C8">
        <w:rPr>
          <w:rFonts w:cs="Arial"/>
          <w:sz w:val="24"/>
          <w:szCs w:val="24"/>
        </w:rPr>
        <w:t>. Octava edición.  México.  Pearson educación.</w:t>
      </w:r>
    </w:p>
    <w:p w:rsidR="009355E8" w:rsidRPr="00C239C8" w:rsidRDefault="009355E8" w:rsidP="009355E8">
      <w:pPr>
        <w:pStyle w:val="Textonotapie"/>
        <w:rPr>
          <w:rFonts w:cs="Arial"/>
          <w:sz w:val="24"/>
          <w:szCs w:val="24"/>
        </w:rPr>
      </w:pPr>
    </w:p>
    <w:p w:rsidR="009355E8" w:rsidRDefault="009355E8" w:rsidP="009355E8">
      <w:pPr>
        <w:autoSpaceDE w:val="0"/>
        <w:autoSpaceDN w:val="0"/>
        <w:adjustRightInd w:val="0"/>
        <w:rPr>
          <w:rFonts w:cs="Arial"/>
          <w:lang w:val="es-ES"/>
        </w:rPr>
      </w:pPr>
      <w:r w:rsidRPr="00C239C8">
        <w:rPr>
          <w:rFonts w:cs="Arial"/>
          <w:lang w:val="es-ES"/>
        </w:rPr>
        <w:t>Durán, J. J. (2005): Teoría de la Economía y Dirección de la Empresa Multinacional: La Empresa Multinacional Española. Estrategias y Ventajas Competitivas, Minerva Ediciones, Madrid.</w:t>
      </w:r>
    </w:p>
    <w:p w:rsidR="009355E8" w:rsidRPr="00C239C8" w:rsidRDefault="009355E8" w:rsidP="009355E8">
      <w:pPr>
        <w:autoSpaceDE w:val="0"/>
        <w:autoSpaceDN w:val="0"/>
        <w:adjustRightInd w:val="0"/>
        <w:rPr>
          <w:rFonts w:cs="Arial"/>
          <w:lang w:val="es-ES"/>
        </w:rPr>
      </w:pPr>
    </w:p>
    <w:p w:rsidR="009355E8" w:rsidRDefault="009355E8" w:rsidP="009355E8">
      <w:pPr>
        <w:autoSpaceDE w:val="0"/>
        <w:autoSpaceDN w:val="0"/>
        <w:adjustRightInd w:val="0"/>
        <w:rPr>
          <w:rFonts w:cs="Arial"/>
          <w:lang w:val="es-ES"/>
        </w:rPr>
      </w:pPr>
      <w:r w:rsidRPr="00C239C8">
        <w:rPr>
          <w:rFonts w:cs="Arial"/>
          <w:lang w:val="es-ES"/>
        </w:rPr>
        <w:t>Galván, I. (2003), La Formación de la Estrategia de Selección de Mercados Exteriores en el Proceso de Internacionalización de las Empresas, Tesis Doctoral, Universidad de las Palmas de Gran Canaria, España.</w:t>
      </w:r>
    </w:p>
    <w:p w:rsidR="009355E8" w:rsidRPr="00C239C8" w:rsidRDefault="009355E8" w:rsidP="009355E8">
      <w:pPr>
        <w:autoSpaceDE w:val="0"/>
        <w:autoSpaceDN w:val="0"/>
        <w:adjustRightInd w:val="0"/>
        <w:rPr>
          <w:rFonts w:cs="Arial"/>
          <w:lang w:val="es-ES"/>
        </w:rPr>
      </w:pPr>
    </w:p>
    <w:p w:rsidR="009355E8" w:rsidRDefault="009355E8" w:rsidP="009355E8">
      <w:pPr>
        <w:autoSpaceDE w:val="0"/>
        <w:autoSpaceDN w:val="0"/>
        <w:adjustRightInd w:val="0"/>
        <w:rPr>
          <w:rFonts w:cs="Arial"/>
          <w:lang w:val="en-US"/>
        </w:rPr>
      </w:pPr>
      <w:r w:rsidRPr="00C239C8">
        <w:rPr>
          <w:rFonts w:cs="Arial"/>
          <w:lang w:val="en-US"/>
        </w:rPr>
        <w:t>Johanson, J., y Vahlne, J.-E. (1977), The internationalization of the firm-A Model of knowledge development and increasing foreign market commitmnents. Journal of International Business Studies, Vol. 8 (1</w:t>
      </w:r>
      <w:r>
        <w:rPr>
          <w:lang w:val="en-US"/>
        </w:rPr>
        <w:t>)</w:t>
      </w:r>
      <w:r w:rsidRPr="00C239C8">
        <w:rPr>
          <w:rFonts w:cs="Arial"/>
          <w:lang w:val="en-US"/>
        </w:rPr>
        <w:t>.</w:t>
      </w:r>
    </w:p>
    <w:p w:rsidR="009355E8" w:rsidRPr="00C239C8" w:rsidRDefault="009355E8" w:rsidP="009355E8">
      <w:pPr>
        <w:autoSpaceDE w:val="0"/>
        <w:autoSpaceDN w:val="0"/>
        <w:adjustRightInd w:val="0"/>
        <w:rPr>
          <w:rFonts w:cs="Arial"/>
          <w:lang w:val="en-US"/>
        </w:rPr>
      </w:pPr>
    </w:p>
    <w:p w:rsidR="009355E8" w:rsidRDefault="009355E8" w:rsidP="009355E8">
      <w:pPr>
        <w:autoSpaceDE w:val="0"/>
        <w:autoSpaceDN w:val="0"/>
        <w:adjustRightInd w:val="0"/>
        <w:rPr>
          <w:rFonts w:cs="Arial"/>
          <w:lang w:val="en-US"/>
        </w:rPr>
      </w:pPr>
      <w:r w:rsidRPr="00C239C8">
        <w:rPr>
          <w:rFonts w:cs="Arial"/>
          <w:lang w:val="en-US"/>
        </w:rPr>
        <w:t>Johanson, J., y Vahlne, J.-E. (1990), The mechanism of internationalization, International Marketing Review, Vol. 7 (4).</w:t>
      </w:r>
    </w:p>
    <w:p w:rsidR="009355E8" w:rsidRPr="00C239C8" w:rsidRDefault="009355E8" w:rsidP="009355E8">
      <w:pPr>
        <w:autoSpaceDE w:val="0"/>
        <w:autoSpaceDN w:val="0"/>
        <w:adjustRightInd w:val="0"/>
        <w:rPr>
          <w:rFonts w:cs="Arial"/>
          <w:lang w:val="en-US"/>
        </w:rPr>
      </w:pPr>
    </w:p>
    <w:p w:rsidR="009355E8" w:rsidRDefault="009355E8" w:rsidP="009355E8">
      <w:pPr>
        <w:autoSpaceDE w:val="0"/>
        <w:autoSpaceDN w:val="0"/>
        <w:adjustRightInd w:val="0"/>
        <w:rPr>
          <w:rFonts w:cs="Arial"/>
          <w:lang w:val="en-US"/>
        </w:rPr>
      </w:pPr>
      <w:r w:rsidRPr="00C239C8">
        <w:rPr>
          <w:rFonts w:cs="Arial"/>
          <w:lang w:val="en-US"/>
        </w:rPr>
        <w:t>Johanson, J., y Wiedersheim-Paul, F. (1975), The internationalization of the firm-four Swedish cases, Journal of Management Studies, Vol. 12.</w:t>
      </w:r>
    </w:p>
    <w:p w:rsidR="009355E8" w:rsidRPr="00C239C8" w:rsidRDefault="009355E8" w:rsidP="009355E8">
      <w:pPr>
        <w:autoSpaceDE w:val="0"/>
        <w:autoSpaceDN w:val="0"/>
        <w:adjustRightInd w:val="0"/>
        <w:rPr>
          <w:rFonts w:cs="Arial"/>
          <w:lang w:val="en-US"/>
        </w:rPr>
      </w:pPr>
    </w:p>
    <w:p w:rsidR="009355E8" w:rsidRDefault="009355E8" w:rsidP="009355E8">
      <w:pPr>
        <w:autoSpaceDE w:val="0"/>
        <w:autoSpaceDN w:val="0"/>
        <w:adjustRightInd w:val="0"/>
        <w:rPr>
          <w:rFonts w:cs="Arial"/>
          <w:lang w:val="en-US"/>
        </w:rPr>
      </w:pPr>
      <w:r w:rsidRPr="00C239C8">
        <w:rPr>
          <w:rFonts w:cs="Arial"/>
          <w:lang w:val="en-US"/>
        </w:rPr>
        <w:t>Lamb P. y Liesch P. W. (2002), Re-framing the relationships between market commitment, knowledge and involvement, Management International Review, 42 (1).</w:t>
      </w:r>
    </w:p>
    <w:p w:rsidR="009355E8" w:rsidRPr="00C239C8" w:rsidRDefault="009355E8" w:rsidP="009355E8">
      <w:pPr>
        <w:autoSpaceDE w:val="0"/>
        <w:autoSpaceDN w:val="0"/>
        <w:adjustRightInd w:val="0"/>
        <w:rPr>
          <w:rFonts w:cs="Arial"/>
          <w:lang w:val="en-US"/>
        </w:rPr>
      </w:pPr>
    </w:p>
    <w:p w:rsidR="009355E8" w:rsidRPr="00C239C8" w:rsidRDefault="009355E8" w:rsidP="009355E8">
      <w:pPr>
        <w:pStyle w:val="Textocomentario"/>
        <w:tabs>
          <w:tab w:val="left" w:pos="3000"/>
        </w:tabs>
        <w:rPr>
          <w:sz w:val="24"/>
          <w:szCs w:val="24"/>
        </w:rPr>
      </w:pPr>
      <w:r w:rsidRPr="00C239C8">
        <w:rPr>
          <w:sz w:val="24"/>
          <w:szCs w:val="24"/>
        </w:rPr>
        <w:t xml:space="preserve">Monreal J. P. (2009), Análisis del comportamiento exportador de la empresa española desde el enfoque de los recursos y las capacidades.  Tesis doctoral Universidad de Murcia. Disponible en </w:t>
      </w:r>
      <w:hyperlink r:id="rId10" w:history="1">
        <w:r w:rsidRPr="00C239C8">
          <w:rPr>
            <w:rStyle w:val="Hipervnculo"/>
            <w:sz w:val="24"/>
            <w:szCs w:val="24"/>
          </w:rPr>
          <w:t>http://www.tesisenred.net/bitstream/handle/ 10803/11003/MonrealPerez.pdf</w:t>
        </w:r>
      </w:hyperlink>
    </w:p>
    <w:p w:rsidR="009355E8" w:rsidRDefault="009355E8" w:rsidP="009355E8">
      <w:pPr>
        <w:autoSpaceDE w:val="0"/>
        <w:autoSpaceDN w:val="0"/>
        <w:adjustRightInd w:val="0"/>
        <w:rPr>
          <w:rFonts w:cs="Arial"/>
          <w:color w:val="000000"/>
        </w:rPr>
      </w:pPr>
    </w:p>
    <w:p w:rsidR="009355E8" w:rsidRDefault="009355E8" w:rsidP="009355E8">
      <w:pPr>
        <w:autoSpaceDE w:val="0"/>
        <w:autoSpaceDN w:val="0"/>
        <w:adjustRightInd w:val="0"/>
        <w:rPr>
          <w:rFonts w:cs="Arial"/>
          <w:color w:val="000000"/>
        </w:rPr>
      </w:pPr>
      <w:r w:rsidRPr="00C239C8">
        <w:rPr>
          <w:rFonts w:cs="Arial"/>
          <w:color w:val="000000"/>
        </w:rPr>
        <w:t xml:space="preserve">Plá J y León, F. (2004), </w:t>
      </w:r>
      <w:r w:rsidRPr="00C239C8">
        <w:rPr>
          <w:rFonts w:cs="Arial"/>
          <w:iCs/>
          <w:color w:val="000000"/>
        </w:rPr>
        <w:t>Dirección de Empresas Internacionales</w:t>
      </w:r>
      <w:r w:rsidRPr="00C239C8">
        <w:rPr>
          <w:rFonts w:cs="Arial"/>
          <w:color w:val="000000"/>
        </w:rPr>
        <w:t>. Editorial Pearson Educación S. A. Madrid, España</w:t>
      </w:r>
    </w:p>
    <w:p w:rsidR="009355E8" w:rsidRPr="00C239C8" w:rsidRDefault="009355E8" w:rsidP="009355E8">
      <w:pPr>
        <w:autoSpaceDE w:val="0"/>
        <w:autoSpaceDN w:val="0"/>
        <w:adjustRightInd w:val="0"/>
        <w:rPr>
          <w:rFonts w:cs="Arial"/>
          <w:color w:val="000000"/>
        </w:rPr>
      </w:pPr>
    </w:p>
    <w:p w:rsidR="009355E8" w:rsidRPr="00C239C8" w:rsidRDefault="009355E8" w:rsidP="009355E8">
      <w:pPr>
        <w:autoSpaceDE w:val="0"/>
        <w:autoSpaceDN w:val="0"/>
        <w:adjustRightInd w:val="0"/>
        <w:rPr>
          <w:rFonts w:cs="Arial"/>
          <w:color w:val="000000"/>
        </w:rPr>
      </w:pPr>
      <w:r w:rsidRPr="00C239C8">
        <w:rPr>
          <w:rFonts w:cs="Arial"/>
          <w:color w:val="000000"/>
        </w:rPr>
        <w:t>Plá, J.B, y Suárez Ortega, S.M. (2001), “¿Cómo se explica la internacionalización</w:t>
      </w:r>
    </w:p>
    <w:p w:rsidR="009355E8" w:rsidRDefault="009355E8" w:rsidP="009355E8">
      <w:pPr>
        <w:autoSpaceDE w:val="0"/>
        <w:autoSpaceDN w:val="0"/>
        <w:adjustRightInd w:val="0"/>
        <w:rPr>
          <w:rFonts w:cs="Arial"/>
          <w:color w:val="000000"/>
        </w:rPr>
      </w:pPr>
      <w:r w:rsidRPr="00C239C8">
        <w:rPr>
          <w:rFonts w:cs="Arial"/>
          <w:color w:val="000000"/>
        </w:rPr>
        <w:t>de la empresa? Una perspectiva teórica integradora”, ICADE Revista de las Facultades de Derecho y Ciencias Económicas y Empresariales, Vol. 52 (Enero-Abril).</w:t>
      </w:r>
    </w:p>
    <w:p w:rsidR="009355E8" w:rsidRPr="00C239C8" w:rsidRDefault="009355E8" w:rsidP="009355E8">
      <w:pPr>
        <w:autoSpaceDE w:val="0"/>
        <w:autoSpaceDN w:val="0"/>
        <w:adjustRightInd w:val="0"/>
        <w:rPr>
          <w:rFonts w:cs="Arial"/>
          <w:color w:val="000000"/>
        </w:rPr>
      </w:pPr>
    </w:p>
    <w:p w:rsidR="009355E8" w:rsidRDefault="009355E8" w:rsidP="009355E8">
      <w:pPr>
        <w:autoSpaceDE w:val="0"/>
        <w:autoSpaceDN w:val="0"/>
        <w:adjustRightInd w:val="0"/>
        <w:rPr>
          <w:rFonts w:cs="Arial"/>
          <w:color w:val="000000"/>
        </w:rPr>
      </w:pPr>
      <w:r w:rsidRPr="00C239C8">
        <w:rPr>
          <w:rFonts w:cs="Arial"/>
          <w:color w:val="000000"/>
        </w:rPr>
        <w:t xml:space="preserve">Rialp, Alex (1999).  Los enfoques micro-organizativos de la internacionalización de la empresa: una revisión y síntesis de la literatura”. </w:t>
      </w:r>
      <w:r w:rsidRPr="00C239C8">
        <w:rPr>
          <w:rFonts w:cs="Arial"/>
          <w:iCs/>
          <w:color w:val="000000"/>
        </w:rPr>
        <w:t xml:space="preserve">Información Comercial Española.  No. </w:t>
      </w:r>
      <w:r w:rsidRPr="00C239C8">
        <w:rPr>
          <w:rFonts w:cs="Arial"/>
          <w:color w:val="000000"/>
        </w:rPr>
        <w:t>781.</w:t>
      </w:r>
    </w:p>
    <w:p w:rsidR="009355E8" w:rsidRPr="00C239C8" w:rsidRDefault="009355E8" w:rsidP="009355E8">
      <w:pPr>
        <w:autoSpaceDE w:val="0"/>
        <w:autoSpaceDN w:val="0"/>
        <w:adjustRightInd w:val="0"/>
        <w:rPr>
          <w:rFonts w:cs="Arial"/>
          <w:color w:val="000000"/>
        </w:rPr>
      </w:pPr>
    </w:p>
    <w:p w:rsidR="009355E8" w:rsidRPr="00C239C8" w:rsidRDefault="009355E8" w:rsidP="009355E8">
      <w:pPr>
        <w:autoSpaceDE w:val="0"/>
        <w:autoSpaceDN w:val="0"/>
        <w:adjustRightInd w:val="0"/>
        <w:rPr>
          <w:rFonts w:cs="Arial"/>
          <w:color w:val="000000"/>
        </w:rPr>
      </w:pPr>
      <w:r w:rsidRPr="00C239C8">
        <w:rPr>
          <w:rFonts w:cs="Arial"/>
        </w:rPr>
        <w:t>Simón Carrión R, (2010). Innovación, internacionalización y cooperación, un estudio de caso basado en el CTAP, Universidad de Almería (España)</w:t>
      </w:r>
      <w:r>
        <w:t>.</w:t>
      </w:r>
    </w:p>
    <w:p w:rsidR="009355E8" w:rsidRDefault="009355E8" w:rsidP="009355E8">
      <w:pPr>
        <w:autoSpaceDE w:val="0"/>
        <w:autoSpaceDN w:val="0"/>
        <w:adjustRightInd w:val="0"/>
        <w:rPr>
          <w:rFonts w:cs="Arial"/>
          <w:color w:val="000000"/>
        </w:rPr>
      </w:pPr>
      <w:r w:rsidRPr="00C239C8">
        <w:rPr>
          <w:rFonts w:cs="Arial"/>
          <w:color w:val="000000"/>
        </w:rPr>
        <w:lastRenderedPageBreak/>
        <w:t xml:space="preserve">Suárez, Sonia, Arístides Olivares e Inmaculada Galván (2002).  La expansión de los mercados de exportación y el tamaño empresarial: el caso de las empresas exportadoras canarias”. </w:t>
      </w:r>
      <w:r w:rsidRPr="00C239C8">
        <w:rPr>
          <w:rFonts w:cs="Arial"/>
          <w:iCs/>
          <w:color w:val="000000"/>
        </w:rPr>
        <w:t>Información Comercial Española</w:t>
      </w:r>
      <w:r w:rsidRPr="00C239C8">
        <w:rPr>
          <w:rFonts w:cs="Arial"/>
          <w:color w:val="000000"/>
        </w:rPr>
        <w:t>.  No. 802.</w:t>
      </w:r>
    </w:p>
    <w:p w:rsidR="009355E8" w:rsidRPr="00C239C8" w:rsidRDefault="009355E8" w:rsidP="009355E8">
      <w:pPr>
        <w:autoSpaceDE w:val="0"/>
        <w:autoSpaceDN w:val="0"/>
        <w:adjustRightInd w:val="0"/>
        <w:rPr>
          <w:rFonts w:cs="Arial"/>
          <w:color w:val="000000"/>
        </w:rPr>
      </w:pPr>
    </w:p>
    <w:p w:rsidR="009355E8" w:rsidRDefault="009355E8" w:rsidP="009355E8">
      <w:pPr>
        <w:autoSpaceDE w:val="0"/>
        <w:autoSpaceDN w:val="0"/>
        <w:adjustRightInd w:val="0"/>
        <w:rPr>
          <w:rFonts w:cs="Arial"/>
          <w:lang w:val="en-US"/>
        </w:rPr>
      </w:pPr>
      <w:r w:rsidRPr="00C239C8">
        <w:rPr>
          <w:rFonts w:cs="Arial"/>
        </w:rPr>
        <w:t xml:space="preserve">Velásquez V., F. (2004). La estrategia, la estructura y las formas de asociación: fuentes de ventaja competitiva para las Pymes colombianas. </w:t>
      </w:r>
      <w:r w:rsidRPr="00C239C8">
        <w:rPr>
          <w:rFonts w:cs="Arial"/>
          <w:lang w:val="en-US"/>
        </w:rPr>
        <w:t>Estudios Gerenciales.</w:t>
      </w:r>
    </w:p>
    <w:p w:rsidR="009355E8" w:rsidRPr="00C239C8" w:rsidRDefault="009355E8" w:rsidP="009355E8">
      <w:pPr>
        <w:autoSpaceDE w:val="0"/>
        <w:autoSpaceDN w:val="0"/>
        <w:adjustRightInd w:val="0"/>
        <w:rPr>
          <w:rFonts w:cs="Arial"/>
          <w:lang w:val="en-US"/>
        </w:rPr>
      </w:pPr>
    </w:p>
    <w:p w:rsidR="009355E8" w:rsidRPr="00C239C8" w:rsidRDefault="009355E8" w:rsidP="009355E8">
      <w:pPr>
        <w:autoSpaceDE w:val="0"/>
        <w:autoSpaceDN w:val="0"/>
        <w:adjustRightInd w:val="0"/>
        <w:rPr>
          <w:rFonts w:cs="Arial"/>
          <w:lang w:val="es-ES"/>
        </w:rPr>
      </w:pPr>
      <w:r w:rsidRPr="00C239C8">
        <w:rPr>
          <w:rFonts w:cs="Arial"/>
          <w:lang w:val="es-ES"/>
        </w:rPr>
        <w:t>Villarreal L.O (2006)  la estrategia de internacionalización de la empresa. Un estudio de casos de multinacionales Vascas.  Tesis doctoral. Universidad del País Vasco.  Bilbao.</w:t>
      </w:r>
    </w:p>
    <w:p w:rsidR="00C91DC3" w:rsidRDefault="00C91DC3"/>
    <w:sectPr w:rsidR="00C91DC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0550" w:rsidRDefault="00650550" w:rsidP="00950EA8">
      <w:r>
        <w:separator/>
      </w:r>
    </w:p>
  </w:endnote>
  <w:endnote w:type="continuationSeparator" w:id="0">
    <w:p w:rsidR="00650550" w:rsidRDefault="00650550" w:rsidP="00950E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0550" w:rsidRDefault="00650550" w:rsidP="00950EA8">
      <w:r>
        <w:separator/>
      </w:r>
    </w:p>
  </w:footnote>
  <w:footnote w:type="continuationSeparator" w:id="0">
    <w:p w:rsidR="00650550" w:rsidRDefault="00650550" w:rsidP="00950EA8">
      <w:r>
        <w:continuationSeparator/>
      </w:r>
    </w:p>
  </w:footnote>
  <w:footnote w:id="1">
    <w:p w:rsidR="00653B39" w:rsidRPr="00034AEC" w:rsidRDefault="00653B39" w:rsidP="00950EA8">
      <w:pPr>
        <w:rPr>
          <w:sz w:val="20"/>
          <w:szCs w:val="20"/>
          <w:lang w:val="es-ES"/>
        </w:rPr>
      </w:pPr>
      <w:r>
        <w:rPr>
          <w:rStyle w:val="Refdenotaalpie"/>
        </w:rPr>
        <w:footnoteRef/>
      </w:r>
      <w:r>
        <w:t xml:space="preserve"> </w:t>
      </w:r>
      <w:r w:rsidRPr="00034AEC">
        <w:rPr>
          <w:sz w:val="20"/>
          <w:szCs w:val="20"/>
        </w:rPr>
        <w:t>Esta ponencia deriva del proyecto de investigación “</w:t>
      </w:r>
      <w:r w:rsidRPr="00034AEC">
        <w:rPr>
          <w:sz w:val="20"/>
          <w:szCs w:val="20"/>
          <w:lang w:val="es-ES"/>
        </w:rPr>
        <w:t>Determinación del posicionamiento competitivo de sectores de Santander mediante el uso de Indicadores de Comercio Exterior y de Política Comercial”, financiado por la Universidad Santo Tomás Bucaramanga, y desarrollado por el grupo de investigación “Integración y globalización de los negocios.</w:t>
      </w:r>
    </w:p>
    <w:p w:rsidR="00653B39" w:rsidRPr="00950EA8" w:rsidRDefault="00653B39" w:rsidP="00950EA8">
      <w:pPr>
        <w:pStyle w:val="Textonotapie"/>
        <w:rPr>
          <w:lang w:val="es-ES"/>
        </w:rPr>
      </w:pPr>
    </w:p>
  </w:footnote>
  <w:footnote w:id="2">
    <w:p w:rsidR="00653B39" w:rsidRDefault="00653B39" w:rsidP="00950EA8">
      <w:pPr>
        <w:pStyle w:val="Textonotapie"/>
      </w:pPr>
      <w:r>
        <w:rPr>
          <w:rStyle w:val="Refdenotaalpie"/>
        </w:rPr>
        <w:footnoteRef/>
      </w:r>
      <w:r>
        <w:t xml:space="preserve"> Ingeniero Químico.  Magister en Evaluación en Educación.  Docente – investigador, Facultad de Negocios Internacionales, Universidad Santo Tomás Bucaramanga.  Correo:  edjagomezp@yahoo.com</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80656"/>
    <w:multiLevelType w:val="hybridMultilevel"/>
    <w:tmpl w:val="5E88E9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AF92D68"/>
    <w:multiLevelType w:val="hybridMultilevel"/>
    <w:tmpl w:val="481A70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CCF252C"/>
    <w:multiLevelType w:val="hybridMultilevel"/>
    <w:tmpl w:val="33D8378C"/>
    <w:lvl w:ilvl="0" w:tplc="6DB09186">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7717B88"/>
    <w:multiLevelType w:val="hybridMultilevel"/>
    <w:tmpl w:val="20A6E9E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A8230D5"/>
    <w:multiLevelType w:val="hybridMultilevel"/>
    <w:tmpl w:val="2E28197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5">
    <w:nsid w:val="1C45318C"/>
    <w:multiLevelType w:val="hybridMultilevel"/>
    <w:tmpl w:val="2E3AEC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CA76C93"/>
    <w:multiLevelType w:val="multilevel"/>
    <w:tmpl w:val="22F204BC"/>
    <w:lvl w:ilvl="0">
      <w:start w:val="1"/>
      <w:numFmt w:val="decimal"/>
      <w:lvlText w:val="%1."/>
      <w:lvlJc w:val="left"/>
      <w:pPr>
        <w:ind w:left="720" w:hanging="360"/>
      </w:pPr>
      <w:rPr>
        <w:rFonts w:hint="default"/>
      </w:r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nsid w:val="1CC86D40"/>
    <w:multiLevelType w:val="multilevel"/>
    <w:tmpl w:val="1EF89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A221D98"/>
    <w:multiLevelType w:val="hybridMultilevel"/>
    <w:tmpl w:val="20A6E9E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32523304"/>
    <w:multiLevelType w:val="multilevel"/>
    <w:tmpl w:val="BE5C872C"/>
    <w:lvl w:ilvl="0">
      <w:start w:val="2"/>
      <w:numFmt w:val="decimal"/>
      <w:lvlText w:val="%1"/>
      <w:lvlJc w:val="left"/>
      <w:pPr>
        <w:tabs>
          <w:tab w:val="num" w:pos="360"/>
        </w:tabs>
        <w:ind w:left="360" w:hanging="360"/>
      </w:pPr>
      <w:rPr>
        <w:rFonts w:hint="default"/>
        <w:b/>
      </w:rPr>
    </w:lvl>
    <w:lvl w:ilvl="1">
      <w:start w:val="1"/>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10">
    <w:nsid w:val="35897588"/>
    <w:multiLevelType w:val="multilevel"/>
    <w:tmpl w:val="833645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381546FD"/>
    <w:multiLevelType w:val="hybridMultilevel"/>
    <w:tmpl w:val="916A10EA"/>
    <w:lvl w:ilvl="0" w:tplc="298057C2">
      <w:start w:val="1"/>
      <w:numFmt w:val="bullet"/>
      <w:lvlText w:val=""/>
      <w:lvlJc w:val="left"/>
      <w:pPr>
        <w:tabs>
          <w:tab w:val="num" w:pos="0"/>
        </w:tabs>
        <w:ind w:left="0" w:firstLine="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3835767B"/>
    <w:multiLevelType w:val="hybridMultilevel"/>
    <w:tmpl w:val="22B8443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3">
    <w:nsid w:val="3ABC726E"/>
    <w:multiLevelType w:val="hybridMultilevel"/>
    <w:tmpl w:val="52DC2C12"/>
    <w:lvl w:ilvl="0" w:tplc="6DB09186">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4">
    <w:nsid w:val="41CC6B1C"/>
    <w:multiLevelType w:val="hybridMultilevel"/>
    <w:tmpl w:val="9BDE2F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45F04F82"/>
    <w:multiLevelType w:val="hybridMultilevel"/>
    <w:tmpl w:val="E4BCA46C"/>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5000676E"/>
    <w:multiLevelType w:val="hybridMultilevel"/>
    <w:tmpl w:val="DCD69BD6"/>
    <w:lvl w:ilvl="0" w:tplc="BC80EC4C">
      <w:start w:val="1"/>
      <w:numFmt w:val="bullet"/>
      <w:lvlText w:val=""/>
      <w:lvlJc w:val="left"/>
      <w:pPr>
        <w:tabs>
          <w:tab w:val="num" w:pos="0"/>
        </w:tabs>
        <w:ind w:left="170" w:hanging="17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52A55980"/>
    <w:multiLevelType w:val="hybridMultilevel"/>
    <w:tmpl w:val="894EFD3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8">
    <w:nsid w:val="52DE4A72"/>
    <w:multiLevelType w:val="hybridMultilevel"/>
    <w:tmpl w:val="01BC018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559B625B"/>
    <w:multiLevelType w:val="hybridMultilevel"/>
    <w:tmpl w:val="F280B7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5C7A7750"/>
    <w:multiLevelType w:val="hybridMultilevel"/>
    <w:tmpl w:val="07FA83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636E2D32"/>
    <w:multiLevelType w:val="hybridMultilevel"/>
    <w:tmpl w:val="09AEDD44"/>
    <w:lvl w:ilvl="0" w:tplc="298057C2">
      <w:start w:val="1"/>
      <w:numFmt w:val="bullet"/>
      <w:lvlText w:val=""/>
      <w:lvlJc w:val="left"/>
      <w:pPr>
        <w:tabs>
          <w:tab w:val="num" w:pos="0"/>
        </w:tabs>
        <w:ind w:left="0" w:firstLine="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66E0615A"/>
    <w:multiLevelType w:val="hybridMultilevel"/>
    <w:tmpl w:val="5BE01DB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69BC294E"/>
    <w:multiLevelType w:val="hybridMultilevel"/>
    <w:tmpl w:val="B0B222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6B1835FB"/>
    <w:multiLevelType w:val="hybridMultilevel"/>
    <w:tmpl w:val="1C4283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6B283D1B"/>
    <w:multiLevelType w:val="multilevel"/>
    <w:tmpl w:val="D9121F06"/>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825"/>
        </w:tabs>
        <w:ind w:left="825" w:hanging="465"/>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6">
    <w:nsid w:val="6E5329FC"/>
    <w:multiLevelType w:val="hybridMultilevel"/>
    <w:tmpl w:val="BBB004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79951372"/>
    <w:multiLevelType w:val="hybridMultilevel"/>
    <w:tmpl w:val="5700F1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7CDA7F80"/>
    <w:multiLevelType w:val="hybridMultilevel"/>
    <w:tmpl w:val="32C88D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7"/>
  </w:num>
  <w:num w:numId="2">
    <w:abstractNumId w:val="25"/>
  </w:num>
  <w:num w:numId="3">
    <w:abstractNumId w:val="21"/>
  </w:num>
  <w:num w:numId="4">
    <w:abstractNumId w:val="11"/>
  </w:num>
  <w:num w:numId="5">
    <w:abstractNumId w:val="14"/>
  </w:num>
  <w:num w:numId="6">
    <w:abstractNumId w:val="4"/>
  </w:num>
  <w:num w:numId="7">
    <w:abstractNumId w:val="24"/>
  </w:num>
  <w:num w:numId="8">
    <w:abstractNumId w:val="19"/>
  </w:num>
  <w:num w:numId="9">
    <w:abstractNumId w:val="20"/>
  </w:num>
  <w:num w:numId="10">
    <w:abstractNumId w:val="23"/>
  </w:num>
  <w:num w:numId="11">
    <w:abstractNumId w:val="26"/>
  </w:num>
  <w:num w:numId="12">
    <w:abstractNumId w:val="27"/>
  </w:num>
  <w:num w:numId="13">
    <w:abstractNumId w:val="1"/>
  </w:num>
  <w:num w:numId="14">
    <w:abstractNumId w:val="22"/>
  </w:num>
  <w:num w:numId="15">
    <w:abstractNumId w:val="5"/>
  </w:num>
  <w:num w:numId="16">
    <w:abstractNumId w:val="0"/>
  </w:num>
  <w:num w:numId="17">
    <w:abstractNumId w:val="9"/>
  </w:num>
  <w:num w:numId="18">
    <w:abstractNumId w:val="16"/>
  </w:num>
  <w:num w:numId="19">
    <w:abstractNumId w:val="3"/>
  </w:num>
  <w:num w:numId="20">
    <w:abstractNumId w:val="8"/>
  </w:num>
  <w:num w:numId="21">
    <w:abstractNumId w:val="28"/>
  </w:num>
  <w:num w:numId="22">
    <w:abstractNumId w:val="2"/>
  </w:num>
  <w:num w:numId="23">
    <w:abstractNumId w:val="13"/>
  </w:num>
  <w:num w:numId="24">
    <w:abstractNumId w:val="17"/>
  </w:num>
  <w:num w:numId="25">
    <w:abstractNumId w:val="12"/>
  </w:num>
  <w:num w:numId="26">
    <w:abstractNumId w:val="6"/>
  </w:num>
  <w:num w:numId="27">
    <w:abstractNumId w:val="10"/>
  </w:num>
  <w:num w:numId="28">
    <w:abstractNumId w:val="18"/>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0EA8"/>
    <w:rsid w:val="00025ABF"/>
    <w:rsid w:val="000C3745"/>
    <w:rsid w:val="000D0D07"/>
    <w:rsid w:val="00353F52"/>
    <w:rsid w:val="004F319C"/>
    <w:rsid w:val="00650550"/>
    <w:rsid w:val="00653B39"/>
    <w:rsid w:val="00830B51"/>
    <w:rsid w:val="00837C20"/>
    <w:rsid w:val="009355E8"/>
    <w:rsid w:val="00950EA8"/>
    <w:rsid w:val="0096159F"/>
    <w:rsid w:val="0098124C"/>
    <w:rsid w:val="00AB7177"/>
    <w:rsid w:val="00B234C1"/>
    <w:rsid w:val="00B56DF5"/>
    <w:rsid w:val="00C91DC3"/>
    <w:rsid w:val="00D07A84"/>
    <w:rsid w:val="00DB586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Times New Roman"/>
        <w:sz w:val="24"/>
        <w:szCs w:val="24"/>
        <w:lang w:val="es-CO"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0E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950EA8"/>
    <w:rPr>
      <w:sz w:val="20"/>
      <w:szCs w:val="20"/>
    </w:rPr>
  </w:style>
  <w:style w:type="character" w:customStyle="1" w:styleId="TextonotapieCar">
    <w:name w:val="Texto nota pie Car"/>
    <w:basedOn w:val="Fuentedeprrafopredeter"/>
    <w:link w:val="Textonotapie"/>
    <w:uiPriority w:val="99"/>
    <w:rsid w:val="00950EA8"/>
    <w:rPr>
      <w:sz w:val="20"/>
      <w:szCs w:val="20"/>
    </w:rPr>
  </w:style>
  <w:style w:type="character" w:styleId="Refdenotaalpie">
    <w:name w:val="footnote reference"/>
    <w:basedOn w:val="Fuentedeprrafopredeter"/>
    <w:uiPriority w:val="99"/>
    <w:semiHidden/>
    <w:unhideWhenUsed/>
    <w:rsid w:val="00950EA8"/>
    <w:rPr>
      <w:vertAlign w:val="superscript"/>
    </w:rPr>
  </w:style>
  <w:style w:type="table" w:styleId="Tablaconcuadrcula">
    <w:name w:val="Table Grid"/>
    <w:basedOn w:val="Tablanormal"/>
    <w:uiPriority w:val="59"/>
    <w:rsid w:val="00950EA8"/>
    <w:rPr>
      <w:rFonts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950EA8"/>
    <w:pPr>
      <w:ind w:left="720"/>
      <w:contextualSpacing/>
    </w:pPr>
  </w:style>
  <w:style w:type="paragraph" w:styleId="Textodeglobo">
    <w:name w:val="Balloon Text"/>
    <w:basedOn w:val="Normal"/>
    <w:link w:val="TextodegloboCar"/>
    <w:uiPriority w:val="99"/>
    <w:semiHidden/>
    <w:unhideWhenUsed/>
    <w:rsid w:val="00653B39"/>
    <w:rPr>
      <w:rFonts w:ascii="Tahoma" w:hAnsi="Tahoma" w:cs="Tahoma"/>
      <w:sz w:val="16"/>
      <w:szCs w:val="16"/>
    </w:rPr>
  </w:style>
  <w:style w:type="character" w:customStyle="1" w:styleId="TextodegloboCar">
    <w:name w:val="Texto de globo Car"/>
    <w:basedOn w:val="Fuentedeprrafopredeter"/>
    <w:link w:val="Textodeglobo"/>
    <w:uiPriority w:val="99"/>
    <w:semiHidden/>
    <w:rsid w:val="00653B39"/>
    <w:rPr>
      <w:rFonts w:ascii="Tahoma" w:hAnsi="Tahoma" w:cs="Tahoma"/>
      <w:sz w:val="16"/>
      <w:szCs w:val="16"/>
    </w:rPr>
  </w:style>
  <w:style w:type="paragraph" w:styleId="Piedepgina">
    <w:name w:val="footer"/>
    <w:basedOn w:val="Normal"/>
    <w:link w:val="PiedepginaCar"/>
    <w:uiPriority w:val="99"/>
    <w:rsid w:val="00653B39"/>
    <w:pPr>
      <w:tabs>
        <w:tab w:val="center" w:pos="4419"/>
        <w:tab w:val="right" w:pos="8838"/>
      </w:tabs>
    </w:pPr>
    <w:rPr>
      <w:rFonts w:eastAsia="Times New Roman" w:cs="Arial"/>
      <w:lang w:eastAsia="es-ES"/>
    </w:rPr>
  </w:style>
  <w:style w:type="character" w:customStyle="1" w:styleId="PiedepginaCar">
    <w:name w:val="Pie de página Car"/>
    <w:basedOn w:val="Fuentedeprrafopredeter"/>
    <w:link w:val="Piedepgina"/>
    <w:uiPriority w:val="99"/>
    <w:rsid w:val="00653B39"/>
    <w:rPr>
      <w:rFonts w:eastAsia="Times New Roman" w:cs="Arial"/>
      <w:lang w:eastAsia="es-ES"/>
    </w:rPr>
  </w:style>
  <w:style w:type="paragraph" w:styleId="NormalWeb">
    <w:name w:val="Normal (Web)"/>
    <w:basedOn w:val="Normal"/>
    <w:rsid w:val="00653B39"/>
    <w:pPr>
      <w:spacing w:before="100" w:after="100"/>
    </w:pPr>
    <w:rPr>
      <w:rFonts w:ascii="Arial Unicode MS" w:eastAsia="Arial Unicode MS" w:hAnsi="Arial Unicode MS"/>
      <w:color w:val="000000"/>
      <w:szCs w:val="20"/>
      <w:lang w:val="es-ES" w:eastAsia="es-ES"/>
    </w:rPr>
  </w:style>
  <w:style w:type="paragraph" w:styleId="Encabezado">
    <w:name w:val="header"/>
    <w:basedOn w:val="Normal"/>
    <w:link w:val="EncabezadoCar"/>
    <w:uiPriority w:val="99"/>
    <w:unhideWhenUsed/>
    <w:rsid w:val="00653B39"/>
    <w:pPr>
      <w:tabs>
        <w:tab w:val="center" w:pos="4419"/>
        <w:tab w:val="right" w:pos="8838"/>
      </w:tabs>
    </w:pPr>
    <w:rPr>
      <w:rFonts w:cs="Arial"/>
    </w:rPr>
  </w:style>
  <w:style w:type="character" w:customStyle="1" w:styleId="EncabezadoCar">
    <w:name w:val="Encabezado Car"/>
    <w:basedOn w:val="Fuentedeprrafopredeter"/>
    <w:link w:val="Encabezado"/>
    <w:uiPriority w:val="99"/>
    <w:rsid w:val="00653B39"/>
    <w:rPr>
      <w:rFonts w:cs="Arial"/>
    </w:rPr>
  </w:style>
  <w:style w:type="character" w:styleId="Hipervnculo">
    <w:name w:val="Hyperlink"/>
    <w:basedOn w:val="Fuentedeprrafopredeter"/>
    <w:uiPriority w:val="99"/>
    <w:unhideWhenUsed/>
    <w:rsid w:val="00653B39"/>
    <w:rPr>
      <w:color w:val="0000FF" w:themeColor="hyperlink"/>
      <w:u w:val="single"/>
    </w:rPr>
  </w:style>
  <w:style w:type="character" w:customStyle="1" w:styleId="TextocomentarioCar">
    <w:name w:val="Texto comentario Car"/>
    <w:basedOn w:val="Fuentedeprrafopredeter"/>
    <w:link w:val="Textocomentario"/>
    <w:uiPriority w:val="99"/>
    <w:rsid w:val="00653B39"/>
    <w:rPr>
      <w:rFonts w:cs="Arial"/>
      <w:sz w:val="20"/>
      <w:szCs w:val="20"/>
    </w:rPr>
  </w:style>
  <w:style w:type="paragraph" w:styleId="Textocomentario">
    <w:name w:val="annotation text"/>
    <w:basedOn w:val="Normal"/>
    <w:link w:val="TextocomentarioCar"/>
    <w:uiPriority w:val="99"/>
    <w:unhideWhenUsed/>
    <w:rsid w:val="00653B39"/>
    <w:pPr>
      <w:spacing w:after="200"/>
    </w:pPr>
    <w:rPr>
      <w:rFonts w:cs="Arial"/>
      <w:sz w:val="20"/>
      <w:szCs w:val="20"/>
    </w:rPr>
  </w:style>
  <w:style w:type="character" w:customStyle="1" w:styleId="AsuntodelcomentarioCar">
    <w:name w:val="Asunto del comentario Car"/>
    <w:basedOn w:val="TextocomentarioCar"/>
    <w:link w:val="Asuntodelcomentario"/>
    <w:uiPriority w:val="99"/>
    <w:semiHidden/>
    <w:rsid w:val="00653B39"/>
    <w:rPr>
      <w:rFonts w:cs="Arial"/>
      <w:b/>
      <w:bCs/>
      <w:sz w:val="20"/>
      <w:szCs w:val="20"/>
    </w:rPr>
  </w:style>
  <w:style w:type="paragraph" w:styleId="Asuntodelcomentario">
    <w:name w:val="annotation subject"/>
    <w:basedOn w:val="Textocomentario"/>
    <w:next w:val="Textocomentario"/>
    <w:link w:val="AsuntodelcomentarioCar"/>
    <w:uiPriority w:val="99"/>
    <w:semiHidden/>
    <w:unhideWhenUsed/>
    <w:rsid w:val="00653B3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imes New Roman"/>
        <w:sz w:val="24"/>
        <w:szCs w:val="24"/>
        <w:lang w:val="es-CO"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0E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950EA8"/>
    <w:rPr>
      <w:sz w:val="20"/>
      <w:szCs w:val="20"/>
    </w:rPr>
  </w:style>
  <w:style w:type="character" w:customStyle="1" w:styleId="TextonotapieCar">
    <w:name w:val="Texto nota pie Car"/>
    <w:basedOn w:val="Fuentedeprrafopredeter"/>
    <w:link w:val="Textonotapie"/>
    <w:uiPriority w:val="99"/>
    <w:rsid w:val="00950EA8"/>
    <w:rPr>
      <w:sz w:val="20"/>
      <w:szCs w:val="20"/>
    </w:rPr>
  </w:style>
  <w:style w:type="character" w:styleId="Refdenotaalpie">
    <w:name w:val="footnote reference"/>
    <w:basedOn w:val="Fuentedeprrafopredeter"/>
    <w:uiPriority w:val="99"/>
    <w:semiHidden/>
    <w:unhideWhenUsed/>
    <w:rsid w:val="00950EA8"/>
    <w:rPr>
      <w:vertAlign w:val="superscript"/>
    </w:rPr>
  </w:style>
  <w:style w:type="table" w:styleId="Tablaconcuadrcula">
    <w:name w:val="Table Grid"/>
    <w:basedOn w:val="Tablanormal"/>
    <w:uiPriority w:val="59"/>
    <w:rsid w:val="00950EA8"/>
    <w:rPr>
      <w:rFonts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950EA8"/>
    <w:pPr>
      <w:ind w:left="720"/>
      <w:contextualSpacing/>
    </w:pPr>
  </w:style>
  <w:style w:type="paragraph" w:styleId="Textodeglobo">
    <w:name w:val="Balloon Text"/>
    <w:basedOn w:val="Normal"/>
    <w:link w:val="TextodegloboCar"/>
    <w:uiPriority w:val="99"/>
    <w:semiHidden/>
    <w:unhideWhenUsed/>
    <w:rsid w:val="00653B39"/>
    <w:rPr>
      <w:rFonts w:ascii="Tahoma" w:hAnsi="Tahoma" w:cs="Tahoma"/>
      <w:sz w:val="16"/>
      <w:szCs w:val="16"/>
    </w:rPr>
  </w:style>
  <w:style w:type="character" w:customStyle="1" w:styleId="TextodegloboCar">
    <w:name w:val="Texto de globo Car"/>
    <w:basedOn w:val="Fuentedeprrafopredeter"/>
    <w:link w:val="Textodeglobo"/>
    <w:uiPriority w:val="99"/>
    <w:semiHidden/>
    <w:rsid w:val="00653B39"/>
    <w:rPr>
      <w:rFonts w:ascii="Tahoma" w:hAnsi="Tahoma" w:cs="Tahoma"/>
      <w:sz w:val="16"/>
      <w:szCs w:val="16"/>
    </w:rPr>
  </w:style>
  <w:style w:type="paragraph" w:styleId="Piedepgina">
    <w:name w:val="footer"/>
    <w:basedOn w:val="Normal"/>
    <w:link w:val="PiedepginaCar"/>
    <w:uiPriority w:val="99"/>
    <w:rsid w:val="00653B39"/>
    <w:pPr>
      <w:tabs>
        <w:tab w:val="center" w:pos="4419"/>
        <w:tab w:val="right" w:pos="8838"/>
      </w:tabs>
    </w:pPr>
    <w:rPr>
      <w:rFonts w:eastAsia="Times New Roman" w:cs="Arial"/>
      <w:lang w:eastAsia="es-ES"/>
    </w:rPr>
  </w:style>
  <w:style w:type="character" w:customStyle="1" w:styleId="PiedepginaCar">
    <w:name w:val="Pie de página Car"/>
    <w:basedOn w:val="Fuentedeprrafopredeter"/>
    <w:link w:val="Piedepgina"/>
    <w:uiPriority w:val="99"/>
    <w:rsid w:val="00653B39"/>
    <w:rPr>
      <w:rFonts w:eastAsia="Times New Roman" w:cs="Arial"/>
      <w:lang w:eastAsia="es-ES"/>
    </w:rPr>
  </w:style>
  <w:style w:type="paragraph" w:styleId="NormalWeb">
    <w:name w:val="Normal (Web)"/>
    <w:basedOn w:val="Normal"/>
    <w:rsid w:val="00653B39"/>
    <w:pPr>
      <w:spacing w:before="100" w:after="100"/>
    </w:pPr>
    <w:rPr>
      <w:rFonts w:ascii="Arial Unicode MS" w:eastAsia="Arial Unicode MS" w:hAnsi="Arial Unicode MS"/>
      <w:color w:val="000000"/>
      <w:szCs w:val="20"/>
      <w:lang w:val="es-ES" w:eastAsia="es-ES"/>
    </w:rPr>
  </w:style>
  <w:style w:type="paragraph" w:styleId="Encabezado">
    <w:name w:val="header"/>
    <w:basedOn w:val="Normal"/>
    <w:link w:val="EncabezadoCar"/>
    <w:uiPriority w:val="99"/>
    <w:unhideWhenUsed/>
    <w:rsid w:val="00653B39"/>
    <w:pPr>
      <w:tabs>
        <w:tab w:val="center" w:pos="4419"/>
        <w:tab w:val="right" w:pos="8838"/>
      </w:tabs>
    </w:pPr>
    <w:rPr>
      <w:rFonts w:cs="Arial"/>
    </w:rPr>
  </w:style>
  <w:style w:type="character" w:customStyle="1" w:styleId="EncabezadoCar">
    <w:name w:val="Encabezado Car"/>
    <w:basedOn w:val="Fuentedeprrafopredeter"/>
    <w:link w:val="Encabezado"/>
    <w:uiPriority w:val="99"/>
    <w:rsid w:val="00653B39"/>
    <w:rPr>
      <w:rFonts w:cs="Arial"/>
    </w:rPr>
  </w:style>
  <w:style w:type="character" w:styleId="Hipervnculo">
    <w:name w:val="Hyperlink"/>
    <w:basedOn w:val="Fuentedeprrafopredeter"/>
    <w:uiPriority w:val="99"/>
    <w:unhideWhenUsed/>
    <w:rsid w:val="00653B39"/>
    <w:rPr>
      <w:color w:val="0000FF" w:themeColor="hyperlink"/>
      <w:u w:val="single"/>
    </w:rPr>
  </w:style>
  <w:style w:type="character" w:customStyle="1" w:styleId="TextocomentarioCar">
    <w:name w:val="Texto comentario Car"/>
    <w:basedOn w:val="Fuentedeprrafopredeter"/>
    <w:link w:val="Textocomentario"/>
    <w:uiPriority w:val="99"/>
    <w:rsid w:val="00653B39"/>
    <w:rPr>
      <w:rFonts w:cs="Arial"/>
      <w:sz w:val="20"/>
      <w:szCs w:val="20"/>
    </w:rPr>
  </w:style>
  <w:style w:type="paragraph" w:styleId="Textocomentario">
    <w:name w:val="annotation text"/>
    <w:basedOn w:val="Normal"/>
    <w:link w:val="TextocomentarioCar"/>
    <w:uiPriority w:val="99"/>
    <w:unhideWhenUsed/>
    <w:rsid w:val="00653B39"/>
    <w:pPr>
      <w:spacing w:after="200"/>
    </w:pPr>
    <w:rPr>
      <w:rFonts w:cs="Arial"/>
      <w:sz w:val="20"/>
      <w:szCs w:val="20"/>
    </w:rPr>
  </w:style>
  <w:style w:type="character" w:customStyle="1" w:styleId="AsuntodelcomentarioCar">
    <w:name w:val="Asunto del comentario Car"/>
    <w:basedOn w:val="TextocomentarioCar"/>
    <w:link w:val="Asuntodelcomentario"/>
    <w:uiPriority w:val="99"/>
    <w:semiHidden/>
    <w:rsid w:val="00653B39"/>
    <w:rPr>
      <w:rFonts w:cs="Arial"/>
      <w:b/>
      <w:bCs/>
      <w:sz w:val="20"/>
      <w:szCs w:val="20"/>
    </w:rPr>
  </w:style>
  <w:style w:type="paragraph" w:styleId="Asuntodelcomentario">
    <w:name w:val="annotation subject"/>
    <w:basedOn w:val="Textocomentario"/>
    <w:next w:val="Textocomentario"/>
    <w:link w:val="AsuntodelcomentarioCar"/>
    <w:uiPriority w:val="99"/>
    <w:semiHidden/>
    <w:unhideWhenUsed/>
    <w:rsid w:val="00653B3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tesisenred.net/bitstream/handle/10803/11003/MonrealPerez.pdf" TargetMode="External"/><Relationship Id="rId4" Type="http://schemas.microsoft.com/office/2007/relationships/stylesWithEffects" Target="stylesWithEffects.xml"/><Relationship Id="rId9" Type="http://schemas.openxmlformats.org/officeDocument/2006/relationships/hyperlink" Target="http://www.uncu.edu.ar/relacionesinternacionales/upload/redilaeje54.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0571DF2D-B634-493E-9105-6C30EE2DAA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9252</Words>
  <Characters>50892</Characters>
  <Application>Microsoft Office Word</Application>
  <DocSecurity>0</DocSecurity>
  <Lines>424</Lines>
  <Paragraphs>120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Modulo8</dc:creator>
  <cp:lastModifiedBy>usuario</cp:lastModifiedBy>
  <cp:revision>2</cp:revision>
  <dcterms:created xsi:type="dcterms:W3CDTF">2014-10-08T15:39:00Z</dcterms:created>
  <dcterms:modified xsi:type="dcterms:W3CDTF">2014-10-08T15:39:00Z</dcterms:modified>
</cp:coreProperties>
</file>