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D4A70" w14:textId="77777777"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14:paraId="56D1781C"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C6DAEA3"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14:paraId="4EEDC615"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F99C4B" w14:textId="77777777" w:rsidR="002A18AF" w:rsidRPr="000B47BE" w:rsidRDefault="001C1E94" w:rsidP="000B47BE">
            <w:pPr>
              <w:spacing w:after="0" w:line="240" w:lineRule="auto"/>
              <w:jc w:val="center"/>
              <w:rPr>
                <w:rFonts w:ascii="Arial" w:eastAsia="Times New Roman" w:hAnsi="Arial" w:cs="Arial"/>
                <w:color w:val="222222"/>
                <w:sz w:val="24"/>
                <w:szCs w:val="24"/>
                <w:lang w:eastAsia="es-CO"/>
              </w:rPr>
            </w:pPr>
            <w:r w:rsidRPr="000B47BE">
              <w:rPr>
                <w:rFonts w:ascii="Arial" w:eastAsia="Times New Roman" w:hAnsi="Arial" w:cs="Arial"/>
                <w:color w:val="222222"/>
                <w:sz w:val="24"/>
                <w:szCs w:val="24"/>
                <w:lang w:eastAsia="es-CO"/>
              </w:rPr>
              <w:t>Evaluación de la extracción de principios activos de ortiga</w:t>
            </w:r>
            <w:r w:rsidR="000B47BE" w:rsidRPr="000B47BE">
              <w:rPr>
                <w:rFonts w:ascii="Arial" w:eastAsia="Times New Roman" w:hAnsi="Arial" w:cs="Arial"/>
                <w:color w:val="222222"/>
                <w:sz w:val="24"/>
                <w:szCs w:val="24"/>
                <w:lang w:eastAsia="es-CO"/>
              </w:rPr>
              <w:t xml:space="preserve"> (</w:t>
            </w:r>
            <w:r w:rsidR="000B47BE" w:rsidRPr="000B47BE">
              <w:rPr>
                <w:rFonts w:ascii="Arial" w:eastAsia="Times New Roman" w:hAnsi="Arial" w:cs="Arial"/>
                <w:i/>
                <w:color w:val="222222"/>
                <w:sz w:val="24"/>
                <w:szCs w:val="24"/>
                <w:lang w:eastAsia="es-CO"/>
              </w:rPr>
              <w:t>Urtica dioica</w:t>
            </w:r>
            <w:r w:rsidR="000B47BE" w:rsidRPr="000B47BE">
              <w:rPr>
                <w:rFonts w:ascii="Arial" w:eastAsia="Times New Roman" w:hAnsi="Arial" w:cs="Arial"/>
                <w:color w:val="222222"/>
                <w:sz w:val="24"/>
                <w:szCs w:val="24"/>
                <w:lang w:eastAsia="es-CO"/>
              </w:rPr>
              <w:t xml:space="preserve">) </w:t>
            </w:r>
            <w:r w:rsidRPr="000B47BE">
              <w:rPr>
                <w:rFonts w:ascii="Arial" w:eastAsia="Times New Roman" w:hAnsi="Arial" w:cs="Arial"/>
                <w:color w:val="222222"/>
                <w:sz w:val="24"/>
                <w:szCs w:val="24"/>
                <w:lang w:eastAsia="es-CO"/>
              </w:rPr>
              <w:t>y agraz</w:t>
            </w:r>
            <w:r w:rsidR="000B47BE" w:rsidRPr="000B47BE">
              <w:rPr>
                <w:rFonts w:ascii="Arial" w:eastAsia="Times New Roman" w:hAnsi="Arial" w:cs="Arial"/>
                <w:color w:val="222222"/>
                <w:sz w:val="24"/>
                <w:szCs w:val="24"/>
                <w:lang w:eastAsia="es-CO"/>
              </w:rPr>
              <w:t xml:space="preserve"> (</w:t>
            </w:r>
            <w:r w:rsidR="000B47BE" w:rsidRPr="000B47BE">
              <w:rPr>
                <w:rFonts w:ascii="Arial" w:hAnsi="Arial" w:cs="Arial"/>
                <w:i/>
                <w:iCs/>
                <w:color w:val="222222"/>
                <w:sz w:val="21"/>
                <w:szCs w:val="21"/>
                <w:shd w:val="clear" w:color="auto" w:fill="FFFFFF"/>
              </w:rPr>
              <w:t>Vaccinium meridionale</w:t>
            </w:r>
            <w:r w:rsidR="000B47BE" w:rsidRPr="000B47BE">
              <w:rPr>
                <w:rFonts w:ascii="Arial" w:hAnsi="Arial" w:cs="Arial"/>
                <w:iCs/>
                <w:color w:val="222222"/>
                <w:sz w:val="21"/>
                <w:szCs w:val="21"/>
                <w:shd w:val="clear" w:color="auto" w:fill="FFFFFF"/>
              </w:rPr>
              <w:t>)</w:t>
            </w:r>
            <w:r w:rsidRPr="000B47BE">
              <w:rPr>
                <w:rFonts w:ascii="Arial" w:eastAsia="Times New Roman" w:hAnsi="Arial" w:cs="Arial"/>
                <w:color w:val="222222"/>
                <w:sz w:val="24"/>
                <w:szCs w:val="24"/>
                <w:lang w:eastAsia="es-CO"/>
              </w:rPr>
              <w:t xml:space="preserve"> mediante el uso de hidrocavitación</w:t>
            </w:r>
          </w:p>
        </w:tc>
      </w:tr>
      <w:tr w:rsidR="00265B89" w14:paraId="7849C323"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2D4EF7E" w14:textId="77777777"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DF482C7"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14:paraId="2D3BDB72"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D0146B" w14:textId="6AFDFCD1" w:rsidR="00265B89" w:rsidRPr="00A11E50" w:rsidRDefault="00A11E50"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A11E50">
              <w:rPr>
                <w:rFonts w:ascii="Arial" w:eastAsia="Times New Roman" w:hAnsi="Arial" w:cs="Arial"/>
                <w:bCs/>
                <w:color w:val="222222"/>
                <w:sz w:val="24"/>
                <w:szCs w:val="24"/>
                <w:lang w:eastAsia="es-CO"/>
              </w:rPr>
              <w:t>Ambiente</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09AC2CB5" w14:textId="29819355" w:rsidR="00265B89" w:rsidRPr="00A11E50" w:rsidRDefault="00A11E50" w:rsidP="002A18AF">
            <w:pPr>
              <w:spacing w:before="100" w:beforeAutospacing="1" w:after="100" w:afterAutospacing="1" w:line="240" w:lineRule="auto"/>
              <w:jc w:val="center"/>
              <w:rPr>
                <w:rFonts w:ascii="Arial" w:eastAsia="Times New Roman" w:hAnsi="Arial" w:cs="Arial"/>
                <w:bCs/>
                <w:color w:val="222222"/>
                <w:sz w:val="24"/>
                <w:szCs w:val="24"/>
                <w:lang w:eastAsia="es-CO"/>
              </w:rPr>
            </w:pPr>
            <w:bookmarkStart w:id="0" w:name="_GoBack"/>
            <w:r w:rsidRPr="00A11E50">
              <w:rPr>
                <w:rFonts w:ascii="Arial" w:eastAsia="Times New Roman" w:hAnsi="Arial" w:cs="Arial"/>
                <w:bCs/>
                <w:color w:val="222222"/>
                <w:sz w:val="24"/>
                <w:szCs w:val="24"/>
                <w:lang w:eastAsia="es-CO"/>
              </w:rPr>
              <w:t>Proyección Social e Investigación pertinentes:</w:t>
            </w:r>
            <w:r>
              <w:rPr>
                <w:rFonts w:ascii="Arial" w:eastAsia="Times New Roman" w:hAnsi="Arial" w:cs="Arial"/>
                <w:bCs/>
                <w:color w:val="222222"/>
                <w:sz w:val="24"/>
                <w:szCs w:val="24"/>
                <w:lang w:eastAsia="es-CO"/>
              </w:rPr>
              <w:t xml:space="preserve"> El proyecto aborda un problema y busca una solución técnica que permita valorizar especies nativas del país. Esto permitirá contribuir al posicionamiento y visibilidad nacional e internacional de la USTA.</w:t>
            </w:r>
            <w:bookmarkEnd w:id="0"/>
          </w:p>
        </w:tc>
      </w:tr>
      <w:tr w:rsidR="00265B89" w14:paraId="7CA33D5F"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C5E6706"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14:paraId="18239C40"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D25C16" w14:textId="59E22183" w:rsidR="00265B89" w:rsidRPr="002A18AF" w:rsidRDefault="00A11E50" w:rsidP="00DD6F5D">
            <w:pPr>
              <w:spacing w:before="100" w:beforeAutospacing="1" w:after="100" w:afterAutospacing="1" w:line="240" w:lineRule="auto"/>
              <w:rPr>
                <w:rFonts w:ascii="Arial" w:eastAsia="Times New Roman" w:hAnsi="Arial" w:cs="Arial"/>
                <w:b/>
                <w:bCs/>
                <w:color w:val="222222"/>
                <w:sz w:val="24"/>
                <w:szCs w:val="24"/>
                <w:lang w:eastAsia="es-CO"/>
              </w:rPr>
            </w:pPr>
            <w:r w:rsidRPr="00A11E50">
              <w:rPr>
                <w:rFonts w:ascii="Arial" w:eastAsia="Times New Roman" w:hAnsi="Arial" w:cs="Arial"/>
                <w:bCs/>
                <w:color w:val="222222"/>
                <w:sz w:val="24"/>
                <w:szCs w:val="24"/>
                <w:lang w:eastAsia="es-CO"/>
              </w:rPr>
              <w:t>Este proyecto</w:t>
            </w:r>
            <w:r>
              <w:rPr>
                <w:rFonts w:ascii="Arial" w:eastAsia="Times New Roman" w:hAnsi="Arial" w:cs="Arial"/>
                <w:bCs/>
                <w:color w:val="222222"/>
                <w:sz w:val="24"/>
                <w:szCs w:val="24"/>
                <w:lang w:eastAsia="es-CO"/>
              </w:rPr>
              <w:t xml:space="preserve"> busca dar solución a un problema que se presenta en el sector productivo, ya que aunque el país cuenta con una enorme riqueza en su flora esta no genera riqueza al país. Mediante el desarrollo de este proyecto se busca utilizar un equipo desarrollado por la USTA para avanzar en la consolidación de riqueza para el país. Ello contribuirá en que la investigación no solamente aporte </w:t>
            </w:r>
            <w:r w:rsidR="00DD6F5D">
              <w:rPr>
                <w:rFonts w:ascii="Arial" w:eastAsia="Times New Roman" w:hAnsi="Arial" w:cs="Arial"/>
                <w:bCs/>
                <w:color w:val="222222"/>
                <w:sz w:val="24"/>
                <w:szCs w:val="24"/>
                <w:lang w:eastAsia="es-CO"/>
              </w:rPr>
              <w:t>productos académicos sino que contribuya a resolver problemas de país, lo cual es un aporte a la proyección social de la Universidad; además que se enriquecerá la docencia en la medida en que la información generada se utilice en el currículo en el área de termofluidos, y por último la investigación se fortalecerá con la generación de ponencias y artículos de investigación.</w:t>
            </w:r>
          </w:p>
        </w:tc>
      </w:tr>
      <w:tr w:rsidR="002A18AF" w14:paraId="11CC08F3"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92DF813"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6392CCEA"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14:paraId="58AEB731"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B8000E2" w14:textId="77777777" w:rsidR="002A18AF" w:rsidRDefault="001C1E94"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GEAMEC-Termofluidos</w:t>
            </w:r>
          </w:p>
        </w:tc>
      </w:tr>
    </w:tbl>
    <w:p w14:paraId="41B6AB84"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ayout w:type="fixed"/>
        <w:tblLook w:val="04A0" w:firstRow="1" w:lastRow="0" w:firstColumn="1" w:lastColumn="0" w:noHBand="0" w:noVBand="1"/>
      </w:tblPr>
      <w:tblGrid>
        <w:gridCol w:w="1945"/>
        <w:gridCol w:w="3292"/>
        <w:gridCol w:w="5528"/>
        <w:gridCol w:w="3969"/>
      </w:tblGrid>
      <w:tr w:rsidR="002A18AF" w14:paraId="17BC4D3D" w14:textId="77777777" w:rsidTr="009E52A3">
        <w:trPr>
          <w:trHeight w:val="516"/>
        </w:trPr>
        <w:tc>
          <w:tcPr>
            <w:tcW w:w="66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7DEC331"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11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7F2F947"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87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F5207C4"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34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9009E0E"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14:paraId="27CD8F03"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EBE1F2" w14:textId="77777777" w:rsidR="002A18AF" w:rsidRDefault="001C1E94">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Dionisio Humberto Malagón Romero</w:t>
            </w:r>
          </w:p>
        </w:tc>
        <w:tc>
          <w:tcPr>
            <w:tcW w:w="11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47D103" w14:textId="77777777" w:rsidR="002A18AF" w:rsidRPr="00891C49" w:rsidRDefault="003A7B5B">
            <w:pPr>
              <w:spacing w:after="0" w:line="240" w:lineRule="auto"/>
              <w:jc w:val="center"/>
              <w:rPr>
                <w:rFonts w:ascii="Helvetica" w:eastAsia="Times New Roman" w:hAnsi="Helvetica" w:cs="Helvetica"/>
                <w:sz w:val="24"/>
                <w:szCs w:val="24"/>
                <w:lang w:eastAsia="es-CO"/>
              </w:rPr>
            </w:pPr>
            <w:hyperlink r:id="rId8" w:history="1">
              <w:r w:rsidR="000B47BE" w:rsidRPr="00891C49">
                <w:rPr>
                  <w:rStyle w:val="Hipervnculo"/>
                  <w:color w:val="auto"/>
                </w:rPr>
                <w:t>http://scienti.colciencias.gov.co:8081/cvlac/visualizador/generarCurriculoCv.do?cod_rh=0000167061</w:t>
              </w:r>
            </w:hyperlink>
          </w:p>
        </w:tc>
        <w:tc>
          <w:tcPr>
            <w:tcW w:w="18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2A4099" w14:textId="77777777" w:rsidR="002A18AF" w:rsidRPr="00891C49" w:rsidRDefault="003A7B5B">
            <w:pPr>
              <w:spacing w:after="0" w:line="240" w:lineRule="auto"/>
              <w:jc w:val="center"/>
              <w:rPr>
                <w:rFonts w:ascii="Helvetica" w:eastAsia="Times New Roman" w:hAnsi="Helvetica" w:cs="Helvetica"/>
                <w:sz w:val="24"/>
                <w:szCs w:val="24"/>
                <w:lang w:eastAsia="es-CO"/>
              </w:rPr>
            </w:pPr>
            <w:hyperlink r:id="rId9" w:history="1">
              <w:r w:rsidR="001C1E94" w:rsidRPr="00891C49">
                <w:rPr>
                  <w:rStyle w:val="Hipervnculo"/>
                  <w:color w:val="auto"/>
                </w:rPr>
                <w:t>https://orcid.org/0000-0003-2890-2180</w:t>
              </w:r>
            </w:hyperlink>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FD05A0" w14:textId="77777777" w:rsidR="002A18AF" w:rsidRPr="00891C49" w:rsidRDefault="003A7B5B">
            <w:pPr>
              <w:spacing w:after="0" w:line="240" w:lineRule="auto"/>
              <w:jc w:val="center"/>
              <w:rPr>
                <w:rFonts w:ascii="Helvetica" w:eastAsia="Times New Roman" w:hAnsi="Helvetica" w:cs="Helvetica"/>
                <w:sz w:val="24"/>
                <w:szCs w:val="24"/>
                <w:lang w:eastAsia="es-CO"/>
              </w:rPr>
            </w:pPr>
            <w:hyperlink r:id="rId10" w:history="1">
              <w:r w:rsidR="001C1E94" w:rsidRPr="00891C49">
                <w:rPr>
                  <w:rStyle w:val="Hipervnculo"/>
                  <w:color w:val="auto"/>
                </w:rPr>
                <w:t>https://scholar.google.com/citations?user=b0ldFjcAAAAJ&amp;hl=es&amp;oi=ao</w:t>
              </w:r>
            </w:hyperlink>
          </w:p>
        </w:tc>
      </w:tr>
      <w:tr w:rsidR="002A18AF" w14:paraId="35BA7E16"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3F42F4C"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11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9C73BD9"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8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B4FA104"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8E0DE3D"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14:paraId="09758A59"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83E71C" w14:textId="77777777" w:rsidR="002A18AF" w:rsidRPr="004B6453" w:rsidRDefault="001C1E94"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B6453">
              <w:rPr>
                <w:rFonts w:ascii="Arial" w:eastAsia="Times New Roman" w:hAnsi="Arial" w:cs="Arial"/>
                <w:bCs/>
                <w:color w:val="222222"/>
                <w:sz w:val="24"/>
                <w:szCs w:val="24"/>
                <w:lang w:eastAsia="es-CO"/>
              </w:rPr>
              <w:t>Ingeniería</w:t>
            </w:r>
          </w:p>
        </w:tc>
        <w:tc>
          <w:tcPr>
            <w:tcW w:w="11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460433" w14:textId="77777777" w:rsidR="002A18AF" w:rsidRPr="004B6453" w:rsidRDefault="001C1E94"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B6453">
              <w:rPr>
                <w:rFonts w:ascii="Arial" w:eastAsia="Times New Roman" w:hAnsi="Arial" w:cs="Arial"/>
                <w:bCs/>
                <w:color w:val="222222"/>
                <w:sz w:val="24"/>
                <w:szCs w:val="24"/>
                <w:lang w:eastAsia="es-CO"/>
              </w:rPr>
              <w:t>Ingeniería Mecánica</w:t>
            </w:r>
          </w:p>
        </w:tc>
        <w:tc>
          <w:tcPr>
            <w:tcW w:w="18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1BE900" w14:textId="77777777" w:rsidR="002A18AF" w:rsidRPr="004B6453" w:rsidRDefault="001C1E94"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B6453">
              <w:rPr>
                <w:rFonts w:ascii="Arial" w:eastAsia="Times New Roman" w:hAnsi="Arial" w:cs="Arial"/>
                <w:bCs/>
                <w:color w:val="222222"/>
                <w:sz w:val="24"/>
                <w:szCs w:val="24"/>
                <w:lang w:eastAsia="es-CO"/>
              </w:rPr>
              <w:t>Ingeniería Mecánica</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C681FC" w14:textId="77777777" w:rsidR="002A18AF" w:rsidRPr="004B6453" w:rsidRDefault="001C1E94"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B6453">
              <w:rPr>
                <w:rFonts w:ascii="Arial" w:eastAsia="Times New Roman" w:hAnsi="Arial" w:cs="Arial"/>
                <w:bCs/>
                <w:color w:val="222222"/>
                <w:sz w:val="24"/>
                <w:szCs w:val="24"/>
                <w:lang w:eastAsia="es-CO"/>
              </w:rPr>
              <w:t>GEAMEC</w:t>
            </w:r>
          </w:p>
        </w:tc>
      </w:tr>
      <w:tr w:rsidR="008204CD" w14:paraId="497D07C3"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FFC8A37" w14:textId="61879188" w:rsidR="008204CD" w:rsidRPr="00AA3A4F"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11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64F49C7" w14:textId="28E70B8A" w:rsidR="008204CD" w:rsidRPr="00AA3A4F"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8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CE436A" w14:textId="42B26DA5" w:rsidR="008204CD" w:rsidRPr="00AA3A4F"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5FD178B" w14:textId="52253BD7" w:rsidR="008204CD" w:rsidRPr="00AA3A4F"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A3A4F" w14:paraId="770C2474"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9F9CA1" w14:textId="5276A0C9" w:rsidR="00AA3A4F" w:rsidRPr="00484919" w:rsidRDefault="00AA3A4F" w:rsidP="00AA3A4F">
            <w:pPr>
              <w:spacing w:before="100" w:beforeAutospacing="1" w:after="100" w:afterAutospacing="1" w:line="240" w:lineRule="auto"/>
              <w:jc w:val="center"/>
              <w:rPr>
                <w:rFonts w:ascii="Arial" w:eastAsia="Times New Roman" w:hAnsi="Arial" w:cs="Arial"/>
                <w:bCs/>
                <w:color w:val="222222"/>
                <w:sz w:val="24"/>
                <w:szCs w:val="24"/>
                <w:lang w:eastAsia="es-CO"/>
              </w:rPr>
            </w:pPr>
            <w:r w:rsidRPr="00B60037">
              <w:rPr>
                <w:rFonts w:ascii="Arial" w:eastAsia="Times New Roman" w:hAnsi="Arial" w:cs="Arial"/>
                <w:bCs/>
                <w:color w:val="222222"/>
                <w:sz w:val="24"/>
                <w:szCs w:val="24"/>
                <w:lang w:eastAsia="es-CO"/>
              </w:rPr>
              <w:t>Ricardo Alberto Forero Rubiano</w:t>
            </w:r>
          </w:p>
        </w:tc>
        <w:tc>
          <w:tcPr>
            <w:tcW w:w="11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48AFB1" w14:textId="0D59478C" w:rsidR="00AA3A4F" w:rsidRPr="00AA3A4F" w:rsidRDefault="003A7B5B" w:rsidP="00AA3A4F">
            <w:pPr>
              <w:spacing w:before="100" w:beforeAutospacing="1" w:after="100" w:afterAutospacing="1" w:line="240" w:lineRule="auto"/>
              <w:jc w:val="center"/>
              <w:rPr>
                <w:rFonts w:ascii="Arial" w:eastAsia="Times New Roman" w:hAnsi="Arial" w:cs="Arial"/>
                <w:bCs/>
                <w:sz w:val="24"/>
                <w:szCs w:val="24"/>
                <w:lang w:eastAsia="es-CO"/>
              </w:rPr>
            </w:pPr>
            <w:hyperlink r:id="rId11" w:history="1">
              <w:r w:rsidR="00AA3A4F" w:rsidRPr="00AA3A4F">
                <w:rPr>
                  <w:rStyle w:val="Hipervnculo"/>
                  <w:color w:val="auto"/>
                </w:rPr>
                <w:t>http://scienti.colciencias.gov.co:8081/cvlac/visualizador/generarCurriculoCv.do?cod_rh=0001094947</w:t>
              </w:r>
            </w:hyperlink>
            <w:r w:rsidR="00AA3A4F" w:rsidRPr="00AA3A4F">
              <w:rPr>
                <w:rFonts w:ascii="Arial" w:eastAsia="Times New Roman" w:hAnsi="Arial" w:cs="Arial"/>
                <w:b/>
                <w:bCs/>
                <w:sz w:val="24"/>
                <w:szCs w:val="24"/>
                <w:lang w:eastAsia="es-CO"/>
              </w:rPr>
              <w:t xml:space="preserve"> </w:t>
            </w:r>
          </w:p>
        </w:tc>
        <w:tc>
          <w:tcPr>
            <w:tcW w:w="18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890605" w14:textId="53462E92" w:rsidR="00AA3A4F" w:rsidRPr="00AA3A4F" w:rsidRDefault="003A7B5B" w:rsidP="00AA3A4F">
            <w:pPr>
              <w:spacing w:before="100" w:beforeAutospacing="1" w:after="100" w:afterAutospacing="1" w:line="240" w:lineRule="auto"/>
              <w:jc w:val="center"/>
              <w:rPr>
                <w:rFonts w:ascii="Arial" w:eastAsia="Times New Roman" w:hAnsi="Arial" w:cs="Arial"/>
                <w:bCs/>
                <w:sz w:val="24"/>
                <w:szCs w:val="24"/>
                <w:lang w:eastAsia="es-CO"/>
              </w:rPr>
            </w:pPr>
            <w:hyperlink r:id="rId12" w:history="1">
              <w:r w:rsidR="00AA3A4F" w:rsidRPr="00AA3A4F">
                <w:rPr>
                  <w:rStyle w:val="Hipervnculo"/>
                  <w:color w:val="auto"/>
                </w:rPr>
                <w:t>https://orcid.org/0000-0001-7683-3541</w:t>
              </w:r>
            </w:hyperlink>
            <w:r w:rsidR="00AA3A4F" w:rsidRPr="00AA3A4F">
              <w:rPr>
                <w:rFonts w:ascii="Arial" w:eastAsia="Times New Roman" w:hAnsi="Arial" w:cs="Arial"/>
                <w:b/>
                <w:bCs/>
                <w:sz w:val="24"/>
                <w:szCs w:val="24"/>
                <w:lang w:eastAsia="es-CO"/>
              </w:rPr>
              <w:t xml:space="preserve"> </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B8DD3C" w14:textId="46756B55" w:rsidR="00AA3A4F" w:rsidRPr="00AA3A4F" w:rsidRDefault="003A7B5B" w:rsidP="00AA3A4F">
            <w:pPr>
              <w:spacing w:before="100" w:beforeAutospacing="1" w:after="100" w:afterAutospacing="1" w:line="240" w:lineRule="auto"/>
              <w:jc w:val="center"/>
              <w:rPr>
                <w:rFonts w:ascii="Arial" w:eastAsia="Times New Roman" w:hAnsi="Arial" w:cs="Arial"/>
                <w:bCs/>
                <w:sz w:val="24"/>
                <w:szCs w:val="24"/>
                <w:lang w:eastAsia="es-CO"/>
              </w:rPr>
            </w:pPr>
            <w:hyperlink r:id="rId13" w:history="1">
              <w:r w:rsidR="00AA3A4F" w:rsidRPr="00AA3A4F">
                <w:rPr>
                  <w:rStyle w:val="Hipervnculo"/>
                  <w:color w:val="auto"/>
                </w:rPr>
                <w:t>https://scholar.google.com/citations?user=&amp;user=EyAX1aEAAAAJ</w:t>
              </w:r>
            </w:hyperlink>
            <w:r w:rsidR="00AA3A4F" w:rsidRPr="00AA3A4F">
              <w:rPr>
                <w:rFonts w:ascii="Arial" w:eastAsia="Times New Roman" w:hAnsi="Arial" w:cs="Arial"/>
                <w:b/>
                <w:bCs/>
                <w:sz w:val="24"/>
                <w:szCs w:val="24"/>
                <w:lang w:eastAsia="es-CO"/>
              </w:rPr>
              <w:t xml:space="preserve"> </w:t>
            </w:r>
          </w:p>
        </w:tc>
      </w:tr>
      <w:tr w:rsidR="008204CD" w14:paraId="7D038456"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7DF784B" w14:textId="18B13C47"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lastRenderedPageBreak/>
              <w:t>División</w:t>
            </w:r>
          </w:p>
        </w:tc>
        <w:tc>
          <w:tcPr>
            <w:tcW w:w="111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3169C5A" w14:textId="626237CC"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Facultad</w:t>
            </w:r>
          </w:p>
        </w:tc>
        <w:tc>
          <w:tcPr>
            <w:tcW w:w="18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57910FF" w14:textId="6D037C4D"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Programa</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08DDA7C" w14:textId="39C48518"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8204CD" w14:paraId="04435816"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F8C76A" w14:textId="70453E36"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9B576A">
              <w:rPr>
                <w:rFonts w:ascii="Arial" w:eastAsia="Times New Roman" w:hAnsi="Arial" w:cs="Arial"/>
                <w:bCs/>
                <w:color w:val="222222"/>
                <w:sz w:val="24"/>
                <w:szCs w:val="24"/>
                <w:lang w:eastAsia="es-CO"/>
              </w:rPr>
              <w:t xml:space="preserve">Ingeniería </w:t>
            </w:r>
          </w:p>
        </w:tc>
        <w:tc>
          <w:tcPr>
            <w:tcW w:w="11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06DDD7" w14:textId="2B7084A5"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9B576A">
              <w:rPr>
                <w:rFonts w:ascii="Arial" w:eastAsia="Times New Roman" w:hAnsi="Arial" w:cs="Arial"/>
                <w:bCs/>
                <w:color w:val="222222"/>
                <w:sz w:val="24"/>
                <w:szCs w:val="24"/>
                <w:lang w:eastAsia="es-CO"/>
              </w:rPr>
              <w:t>Ingeniería Mecánica</w:t>
            </w:r>
          </w:p>
        </w:tc>
        <w:tc>
          <w:tcPr>
            <w:tcW w:w="18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3793AA6" w14:textId="169D7E7E"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9B576A">
              <w:rPr>
                <w:rFonts w:ascii="Arial" w:eastAsia="Times New Roman" w:hAnsi="Arial" w:cs="Arial"/>
                <w:bCs/>
                <w:color w:val="222222"/>
                <w:sz w:val="24"/>
                <w:szCs w:val="24"/>
                <w:lang w:eastAsia="es-CO"/>
              </w:rPr>
              <w:t>Ingeniería Mecánica</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CBDF54" w14:textId="330A655E" w:rsidR="008204CD" w:rsidRPr="0048491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9B576A">
              <w:rPr>
                <w:rFonts w:ascii="Arial" w:eastAsia="Times New Roman" w:hAnsi="Arial" w:cs="Arial"/>
                <w:bCs/>
                <w:color w:val="222222"/>
                <w:sz w:val="24"/>
                <w:szCs w:val="24"/>
                <w:lang w:eastAsia="es-CO"/>
              </w:rPr>
              <w:t>GEAMEC</w:t>
            </w:r>
          </w:p>
        </w:tc>
      </w:tr>
      <w:tr w:rsidR="008204CD" w14:paraId="39233B8A"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296A955"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11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8EAFDBD"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8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A153006"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9E03377"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8204CD" w:rsidRPr="00AC47BF" w14:paraId="160F4FD7"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AFF8C6" w14:textId="083A8E96" w:rsidR="008204CD" w:rsidRPr="00891C4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891C49">
              <w:rPr>
                <w:rFonts w:ascii="Arial" w:eastAsia="Times New Roman" w:hAnsi="Arial" w:cs="Arial"/>
                <w:bCs/>
                <w:color w:val="222222"/>
                <w:sz w:val="24"/>
                <w:szCs w:val="24"/>
                <w:lang w:eastAsia="es-CO"/>
              </w:rPr>
              <w:t>Gloria Astrid Nausa Galeano</w:t>
            </w:r>
          </w:p>
        </w:tc>
        <w:tc>
          <w:tcPr>
            <w:tcW w:w="11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E77D06" w14:textId="7735B90E" w:rsidR="008204CD" w:rsidRPr="00891C49" w:rsidRDefault="003A7B5B" w:rsidP="008204CD">
            <w:pPr>
              <w:spacing w:before="100" w:beforeAutospacing="1" w:after="100" w:afterAutospacing="1" w:line="240" w:lineRule="auto"/>
              <w:jc w:val="center"/>
              <w:rPr>
                <w:rFonts w:ascii="Arial" w:eastAsia="Times New Roman" w:hAnsi="Arial" w:cs="Arial"/>
                <w:b/>
                <w:bCs/>
                <w:sz w:val="24"/>
                <w:szCs w:val="24"/>
                <w:lang w:eastAsia="es-CO"/>
              </w:rPr>
            </w:pPr>
            <w:hyperlink r:id="rId14" w:history="1">
              <w:r w:rsidR="008204CD" w:rsidRPr="00891C49">
                <w:rPr>
                  <w:rStyle w:val="Hipervnculo"/>
                  <w:color w:val="auto"/>
                </w:rPr>
                <w:t>http://scienti.colciencias.gov.co:8081/cvlac/visualizador/generarCurriculoCv.do?cod_rh=0000013766</w:t>
              </w:r>
            </w:hyperlink>
          </w:p>
        </w:tc>
        <w:tc>
          <w:tcPr>
            <w:tcW w:w="18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B438C1" w14:textId="02A39C53" w:rsidR="008204CD" w:rsidRPr="00891C49" w:rsidRDefault="003A7B5B" w:rsidP="008204CD">
            <w:pPr>
              <w:spacing w:before="100" w:beforeAutospacing="1" w:after="100" w:afterAutospacing="1" w:line="240" w:lineRule="auto"/>
              <w:jc w:val="center"/>
              <w:rPr>
                <w:rFonts w:ascii="Arial" w:eastAsia="Times New Roman" w:hAnsi="Arial" w:cs="Arial"/>
                <w:b/>
                <w:bCs/>
                <w:sz w:val="24"/>
                <w:szCs w:val="24"/>
                <w:lang w:eastAsia="es-CO"/>
              </w:rPr>
            </w:pPr>
            <w:hyperlink r:id="rId15" w:history="1">
              <w:r w:rsidR="008204CD" w:rsidRPr="00891C49">
                <w:rPr>
                  <w:rStyle w:val="Hipervnculo"/>
                  <w:color w:val="auto"/>
                </w:rPr>
                <w:t>https://orcid.org/0000-0002-5905-6151</w:t>
              </w:r>
            </w:hyperlink>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F21B54" w14:textId="63B64BF7" w:rsidR="008204CD" w:rsidRPr="00891C49" w:rsidRDefault="003A7B5B" w:rsidP="008204CD">
            <w:pPr>
              <w:spacing w:before="100" w:beforeAutospacing="1" w:after="100" w:afterAutospacing="1" w:line="240" w:lineRule="auto"/>
              <w:jc w:val="center"/>
              <w:rPr>
                <w:rFonts w:ascii="Arial" w:eastAsia="Times New Roman" w:hAnsi="Arial" w:cs="Arial"/>
                <w:b/>
                <w:bCs/>
                <w:sz w:val="24"/>
                <w:szCs w:val="24"/>
                <w:lang w:eastAsia="es-CO"/>
              </w:rPr>
            </w:pPr>
            <w:hyperlink r:id="rId16" w:history="1">
              <w:r w:rsidR="006934B2" w:rsidRPr="00891C49">
                <w:rPr>
                  <w:rStyle w:val="Hipervnculo"/>
                  <w:color w:val="auto"/>
                </w:rPr>
                <w:t>https://scholar.google.es/citations?hl=es&amp;user=lmHQtNkAAAAJ</w:t>
              </w:r>
            </w:hyperlink>
          </w:p>
        </w:tc>
      </w:tr>
      <w:tr w:rsidR="008204CD" w14:paraId="5EBBEFBE"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76BB47"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1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FB7A45"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8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8E7CFC"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5DBA2C" w14:textId="77777777"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8204CD" w14:paraId="73DCD24E" w14:textId="77777777" w:rsidTr="009E52A3">
        <w:trPr>
          <w:trHeight w:val="536"/>
        </w:trPr>
        <w:tc>
          <w:tcPr>
            <w:tcW w:w="66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E929FB" w14:textId="74024199" w:rsidR="008204CD" w:rsidRPr="00891C4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891C49">
              <w:rPr>
                <w:rFonts w:ascii="Arial" w:eastAsia="Times New Roman" w:hAnsi="Arial" w:cs="Arial"/>
                <w:bCs/>
                <w:color w:val="222222"/>
                <w:sz w:val="24"/>
                <w:szCs w:val="24"/>
                <w:lang w:eastAsia="es-CO"/>
              </w:rPr>
              <w:t>Ingeniería Universidad ECCI</w:t>
            </w:r>
          </w:p>
        </w:tc>
        <w:tc>
          <w:tcPr>
            <w:tcW w:w="11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FC79D9" w14:textId="0BBAAC40" w:rsidR="008204CD" w:rsidRDefault="008204CD" w:rsidP="008204C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Ingeniería</w:t>
            </w:r>
          </w:p>
        </w:tc>
        <w:tc>
          <w:tcPr>
            <w:tcW w:w="18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DB3075" w14:textId="1B0FC7A7" w:rsidR="008204CD" w:rsidRPr="00891C49" w:rsidRDefault="008204CD"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891C49">
              <w:rPr>
                <w:rFonts w:ascii="Arial" w:eastAsia="Times New Roman" w:hAnsi="Arial" w:cs="Arial"/>
                <w:bCs/>
                <w:color w:val="222222"/>
                <w:sz w:val="24"/>
                <w:szCs w:val="24"/>
                <w:lang w:eastAsia="es-CO"/>
              </w:rPr>
              <w:t>Ingeniería Industrial</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DEBBF0" w14:textId="19959F76" w:rsidR="008204CD" w:rsidRPr="00891C49" w:rsidRDefault="002E2A54" w:rsidP="008204CD">
            <w:pPr>
              <w:spacing w:before="100" w:beforeAutospacing="1" w:after="100" w:afterAutospacing="1" w:line="240" w:lineRule="auto"/>
              <w:jc w:val="center"/>
              <w:rPr>
                <w:rFonts w:ascii="Arial" w:eastAsia="Times New Roman" w:hAnsi="Arial" w:cs="Arial"/>
                <w:bCs/>
                <w:color w:val="222222"/>
                <w:sz w:val="24"/>
                <w:szCs w:val="24"/>
                <w:lang w:eastAsia="es-CO"/>
              </w:rPr>
            </w:pPr>
            <w:r w:rsidRPr="00891C49">
              <w:rPr>
                <w:rFonts w:ascii="Arial" w:eastAsia="Times New Roman" w:hAnsi="Arial" w:cs="Arial"/>
                <w:bCs/>
                <w:color w:val="222222"/>
                <w:sz w:val="24"/>
                <w:szCs w:val="24"/>
                <w:lang w:eastAsia="es-CO"/>
              </w:rPr>
              <w:t>GIDMYM</w:t>
            </w:r>
          </w:p>
        </w:tc>
      </w:tr>
    </w:tbl>
    <w:p w14:paraId="4E09A507" w14:textId="77777777" w:rsidR="002A18AF" w:rsidRDefault="002A18AF" w:rsidP="002A18AF">
      <w:pPr>
        <w:spacing w:after="0" w:line="240" w:lineRule="auto"/>
        <w:rPr>
          <w:rFonts w:ascii="Times New Roman" w:eastAsia="Times New Roman" w:hAnsi="Times New Roman" w:cs="Times New Roman"/>
          <w:sz w:val="24"/>
          <w:szCs w:val="24"/>
          <w:lang w:eastAsia="es-CO"/>
        </w:rPr>
      </w:pPr>
    </w:p>
    <w:p w14:paraId="10FBBCBD" w14:textId="77777777" w:rsidR="009E52A3" w:rsidRDefault="009E52A3"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14:paraId="105F9D90"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30CDF19"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FD7AEF3"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14:paraId="633277AA"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2C4566"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1B4B5E3C" w14:textId="4789D702" w:rsidR="00E6008D" w:rsidRDefault="00823ABD" w:rsidP="00AD40BF">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Colombia cuenta con condiciones geográficas p</w:t>
            </w:r>
            <w:r w:rsidR="008129BD">
              <w:rPr>
                <w:rFonts w:ascii="Helvetica" w:eastAsia="Times New Roman" w:hAnsi="Helvetica" w:cs="Helvetica"/>
                <w:color w:val="222222"/>
                <w:sz w:val="24"/>
                <w:szCs w:val="24"/>
                <w:lang w:eastAsia="es-CO"/>
              </w:rPr>
              <w:t>rivilegiadas, gracias a lo cual</w:t>
            </w:r>
            <w:r w:rsidR="00AA3A4F">
              <w:rPr>
                <w:rFonts w:ascii="Helvetica" w:eastAsia="Times New Roman" w:hAnsi="Helvetica" w:cs="Helvetica"/>
                <w:color w:val="222222"/>
                <w:sz w:val="24"/>
                <w:szCs w:val="24"/>
                <w:lang w:eastAsia="es-CO"/>
              </w:rPr>
              <w:t>,</w:t>
            </w:r>
            <w:r w:rsidR="008129BD">
              <w:rPr>
                <w:rFonts w:ascii="Helvetica" w:eastAsia="Times New Roman" w:hAnsi="Helvetica" w:cs="Helvetica"/>
                <w:color w:val="222222"/>
                <w:sz w:val="24"/>
                <w:szCs w:val="24"/>
                <w:lang w:eastAsia="es-CO"/>
              </w:rPr>
              <w:t xml:space="preserve"> </w:t>
            </w:r>
            <w:r w:rsidR="00930350">
              <w:rPr>
                <w:rFonts w:ascii="Helvetica" w:eastAsia="Times New Roman" w:hAnsi="Helvetica" w:cs="Helvetica"/>
                <w:color w:val="222222"/>
                <w:sz w:val="24"/>
                <w:szCs w:val="24"/>
                <w:lang w:eastAsia="es-CO"/>
              </w:rPr>
              <w:t>tiene</w:t>
            </w:r>
            <w:r w:rsidR="008129BD">
              <w:rPr>
                <w:rFonts w:ascii="Helvetica" w:eastAsia="Times New Roman" w:hAnsi="Helvetica" w:cs="Helvetica"/>
                <w:color w:val="222222"/>
                <w:sz w:val="24"/>
                <w:szCs w:val="24"/>
                <w:lang w:eastAsia="es-CO"/>
              </w:rPr>
              <w:t xml:space="preserve"> una gran variedad de </w:t>
            </w:r>
            <w:r w:rsidR="00930350">
              <w:rPr>
                <w:rFonts w:ascii="Helvetica" w:eastAsia="Times New Roman" w:hAnsi="Helvetica" w:cs="Helvetica"/>
                <w:color w:val="222222"/>
                <w:sz w:val="24"/>
                <w:szCs w:val="24"/>
                <w:lang w:eastAsia="es-CO"/>
              </w:rPr>
              <w:t xml:space="preserve">especies vegetales </w:t>
            </w:r>
            <w:r w:rsidR="008129BD">
              <w:rPr>
                <w:rFonts w:ascii="Helvetica" w:eastAsia="Times New Roman" w:hAnsi="Helvetica" w:cs="Helvetica"/>
                <w:color w:val="222222"/>
                <w:sz w:val="24"/>
                <w:szCs w:val="24"/>
                <w:lang w:eastAsia="es-CO"/>
              </w:rPr>
              <w:t>disponibles. Sin embargo, la mayoría de los prod</w:t>
            </w:r>
            <w:r w:rsidR="00930350">
              <w:rPr>
                <w:rFonts w:ascii="Helvetica" w:eastAsia="Times New Roman" w:hAnsi="Helvetica" w:cs="Helvetica"/>
                <w:color w:val="222222"/>
                <w:sz w:val="24"/>
                <w:szCs w:val="24"/>
                <w:lang w:eastAsia="es-CO"/>
              </w:rPr>
              <w:t>uctos obtenidos a partir de esta</w:t>
            </w:r>
            <w:r w:rsidR="008129BD">
              <w:rPr>
                <w:rFonts w:ascii="Helvetica" w:eastAsia="Times New Roman" w:hAnsi="Helvetica" w:cs="Helvetica"/>
                <w:color w:val="222222"/>
                <w:sz w:val="24"/>
                <w:szCs w:val="24"/>
                <w:lang w:eastAsia="es-CO"/>
              </w:rPr>
              <w:t xml:space="preserve">s suelen </w:t>
            </w:r>
            <w:r w:rsidR="00930350">
              <w:rPr>
                <w:rFonts w:ascii="Helvetica" w:eastAsia="Times New Roman" w:hAnsi="Helvetica" w:cs="Helvetica"/>
                <w:color w:val="222222"/>
                <w:sz w:val="24"/>
                <w:szCs w:val="24"/>
                <w:lang w:eastAsia="es-CO"/>
              </w:rPr>
              <w:t>tener una</w:t>
            </w:r>
            <w:r w:rsidR="008129BD">
              <w:rPr>
                <w:rFonts w:ascii="Helvetica" w:eastAsia="Times New Roman" w:hAnsi="Helvetica" w:cs="Helvetica"/>
                <w:color w:val="222222"/>
                <w:sz w:val="24"/>
                <w:szCs w:val="24"/>
                <w:lang w:eastAsia="es-CO"/>
              </w:rPr>
              <w:t xml:space="preserve"> baja transformación y por ende bajo valor agregrado. El presente proyecto pretende obtener extractos naturales de dos plantas, ortiga (</w:t>
            </w:r>
            <w:r w:rsidR="008129BD" w:rsidRPr="000B47BE">
              <w:rPr>
                <w:rFonts w:ascii="Helvetica" w:eastAsia="Times New Roman" w:hAnsi="Helvetica" w:cs="Helvetica"/>
                <w:i/>
                <w:color w:val="222222"/>
                <w:sz w:val="24"/>
                <w:szCs w:val="24"/>
                <w:lang w:eastAsia="es-CO"/>
              </w:rPr>
              <w:t>Urtica dioica</w:t>
            </w:r>
            <w:r w:rsidR="00930350">
              <w:rPr>
                <w:rFonts w:ascii="Helvetica" w:eastAsia="Times New Roman" w:hAnsi="Helvetica" w:cs="Helvetica"/>
                <w:color w:val="222222"/>
                <w:sz w:val="24"/>
                <w:szCs w:val="24"/>
                <w:lang w:eastAsia="es-CO"/>
              </w:rPr>
              <w:t>) y</w:t>
            </w:r>
            <w:r w:rsidR="008129BD">
              <w:rPr>
                <w:rFonts w:ascii="Helvetica" w:eastAsia="Times New Roman" w:hAnsi="Helvetica" w:cs="Helvetica"/>
                <w:color w:val="222222"/>
                <w:sz w:val="24"/>
                <w:szCs w:val="24"/>
                <w:lang w:eastAsia="es-CO"/>
              </w:rPr>
              <w:t xml:space="preserve"> agraz (</w:t>
            </w:r>
            <w:r w:rsidR="008129BD" w:rsidRPr="000B47BE">
              <w:rPr>
                <w:rFonts w:ascii="Helvetica" w:eastAsia="Times New Roman" w:hAnsi="Helvetica" w:cs="Helvetica"/>
                <w:i/>
                <w:color w:val="222222"/>
                <w:sz w:val="24"/>
                <w:szCs w:val="24"/>
                <w:lang w:eastAsia="es-CO"/>
              </w:rPr>
              <w:t>Vaccinium meridionale</w:t>
            </w:r>
            <w:r w:rsidR="008129BD">
              <w:rPr>
                <w:rFonts w:ascii="Helvetica" w:eastAsia="Times New Roman" w:hAnsi="Helvetica" w:cs="Helvetica"/>
                <w:color w:val="222222"/>
                <w:sz w:val="24"/>
                <w:szCs w:val="24"/>
                <w:lang w:eastAsia="es-CO"/>
              </w:rPr>
              <w:t>)</w:t>
            </w:r>
            <w:r w:rsidR="00A55040">
              <w:rPr>
                <w:rFonts w:ascii="Helvetica" w:eastAsia="Times New Roman" w:hAnsi="Helvetica" w:cs="Helvetica"/>
                <w:color w:val="222222"/>
                <w:sz w:val="24"/>
                <w:szCs w:val="24"/>
                <w:lang w:eastAsia="es-CO"/>
              </w:rPr>
              <w:t xml:space="preserve">, las cuales son </w:t>
            </w:r>
            <w:r w:rsidR="008129BD">
              <w:rPr>
                <w:rFonts w:ascii="Helvetica" w:eastAsia="Times New Roman" w:hAnsi="Helvetica" w:cs="Helvetica"/>
                <w:color w:val="222222"/>
                <w:sz w:val="24"/>
                <w:szCs w:val="24"/>
                <w:lang w:eastAsia="es-CO"/>
              </w:rPr>
              <w:t xml:space="preserve">ampliamente cultivadas en el país y que tienen una gran proyección para la formulación de productos en las industrias alimenticia, cosmética y farmacéutica. Para tal fin, se evaluará la hidrocavitación como método </w:t>
            </w:r>
            <w:r w:rsidR="00AA3A4F">
              <w:rPr>
                <w:rFonts w:ascii="Helvetica" w:eastAsia="Times New Roman" w:hAnsi="Helvetica" w:cs="Helvetica"/>
                <w:color w:val="222222"/>
                <w:sz w:val="24"/>
                <w:szCs w:val="24"/>
                <w:lang w:eastAsia="es-CO"/>
              </w:rPr>
              <w:t xml:space="preserve">novedoso </w:t>
            </w:r>
            <w:r w:rsidR="008129BD">
              <w:rPr>
                <w:rFonts w:ascii="Helvetica" w:eastAsia="Times New Roman" w:hAnsi="Helvetica" w:cs="Helvetica"/>
                <w:color w:val="222222"/>
                <w:sz w:val="24"/>
                <w:szCs w:val="24"/>
                <w:lang w:eastAsia="es-CO"/>
              </w:rPr>
              <w:t>de extracción, que no ha sido reportado hasta el momento en la literatura y con el que la Universidad Santo Tomás cu</w:t>
            </w:r>
            <w:r w:rsidR="00930350">
              <w:rPr>
                <w:rFonts w:ascii="Helvetica" w:eastAsia="Times New Roman" w:hAnsi="Helvetica" w:cs="Helvetica"/>
                <w:color w:val="222222"/>
                <w:sz w:val="24"/>
                <w:szCs w:val="24"/>
                <w:lang w:eastAsia="es-CO"/>
              </w:rPr>
              <w:t>enta</w:t>
            </w:r>
            <w:r w:rsidR="00AD40BF">
              <w:rPr>
                <w:rFonts w:ascii="Helvetica" w:eastAsia="Times New Roman" w:hAnsi="Helvetica" w:cs="Helvetica"/>
                <w:color w:val="222222"/>
                <w:sz w:val="24"/>
                <w:szCs w:val="24"/>
                <w:lang w:eastAsia="es-CO"/>
              </w:rPr>
              <w:t>,</w:t>
            </w:r>
            <w:r w:rsidR="00930350">
              <w:rPr>
                <w:rFonts w:ascii="Helvetica" w:eastAsia="Times New Roman" w:hAnsi="Helvetica" w:cs="Helvetica"/>
                <w:color w:val="222222"/>
                <w:sz w:val="24"/>
                <w:szCs w:val="24"/>
                <w:lang w:eastAsia="es-CO"/>
              </w:rPr>
              <w:t xml:space="preserve"> gracias al desarrollo propiciado en la Facultad de Ingeniería Mecánica.</w:t>
            </w:r>
            <w:r w:rsidR="00AD40BF">
              <w:rPr>
                <w:rFonts w:ascii="Helvetica" w:eastAsia="Times New Roman" w:hAnsi="Helvetica" w:cs="Helvetica"/>
                <w:color w:val="222222"/>
                <w:sz w:val="24"/>
                <w:szCs w:val="24"/>
                <w:lang w:eastAsia="es-CO"/>
              </w:rPr>
              <w:t xml:space="preserve"> </w:t>
            </w:r>
            <w:r w:rsidRPr="00823ABD">
              <w:rPr>
                <w:rFonts w:ascii="Helvetica" w:eastAsia="Times New Roman" w:hAnsi="Helvetica" w:cs="Helvetica"/>
                <w:color w:val="222222"/>
                <w:sz w:val="24"/>
                <w:szCs w:val="24"/>
                <w:lang w:eastAsia="es-CO"/>
              </w:rPr>
              <w:t>Entendiendo que el presente proyecto cubre únicamente la primera etapa</w:t>
            </w:r>
            <w:r w:rsidR="00AD40BF">
              <w:rPr>
                <w:rFonts w:ascii="Helvetica" w:eastAsia="Times New Roman" w:hAnsi="Helvetica" w:cs="Helvetica"/>
                <w:color w:val="222222"/>
                <w:sz w:val="24"/>
                <w:szCs w:val="24"/>
                <w:lang w:eastAsia="es-CO"/>
              </w:rPr>
              <w:t>,</w:t>
            </w:r>
            <w:r w:rsidRPr="00823ABD">
              <w:rPr>
                <w:rFonts w:ascii="Helvetica" w:eastAsia="Times New Roman" w:hAnsi="Helvetica" w:cs="Helvetica"/>
                <w:color w:val="222222"/>
                <w:sz w:val="24"/>
                <w:szCs w:val="24"/>
                <w:lang w:eastAsia="es-CO"/>
              </w:rPr>
              <w:t xml:space="preserve"> </w:t>
            </w:r>
            <w:r w:rsidR="00AD40BF">
              <w:rPr>
                <w:rFonts w:ascii="Helvetica" w:eastAsia="Times New Roman" w:hAnsi="Helvetica" w:cs="Helvetica"/>
                <w:color w:val="222222"/>
                <w:sz w:val="24"/>
                <w:szCs w:val="24"/>
                <w:lang w:eastAsia="es-CO"/>
              </w:rPr>
              <w:t>la</w:t>
            </w:r>
            <w:r w:rsidRPr="00823ABD">
              <w:rPr>
                <w:rFonts w:ascii="Helvetica" w:eastAsia="Times New Roman" w:hAnsi="Helvetica" w:cs="Helvetica"/>
                <w:color w:val="222222"/>
                <w:sz w:val="24"/>
                <w:szCs w:val="24"/>
                <w:lang w:eastAsia="es-CO"/>
              </w:rPr>
              <w:t xml:space="preserve"> obtención de los extractos, este será el punto de partida para </w:t>
            </w:r>
            <w:r w:rsidR="00930350">
              <w:rPr>
                <w:rFonts w:ascii="Helvetica" w:eastAsia="Times New Roman" w:hAnsi="Helvetica" w:cs="Helvetica"/>
                <w:color w:val="222222"/>
                <w:sz w:val="24"/>
                <w:szCs w:val="24"/>
                <w:lang w:eastAsia="es-CO"/>
              </w:rPr>
              <w:t>la futura formulación</w:t>
            </w:r>
            <w:r w:rsidRPr="00823ABD">
              <w:rPr>
                <w:rFonts w:ascii="Helvetica" w:eastAsia="Times New Roman" w:hAnsi="Helvetica" w:cs="Helvetica"/>
                <w:color w:val="222222"/>
                <w:sz w:val="24"/>
                <w:szCs w:val="24"/>
                <w:lang w:eastAsia="es-CO"/>
              </w:rPr>
              <w:t xml:space="preserve"> de </w:t>
            </w:r>
            <w:r>
              <w:rPr>
                <w:rFonts w:ascii="Helvetica" w:eastAsia="Times New Roman" w:hAnsi="Helvetica" w:cs="Helvetica"/>
                <w:color w:val="222222"/>
                <w:sz w:val="24"/>
                <w:szCs w:val="24"/>
                <w:lang w:eastAsia="es-CO"/>
              </w:rPr>
              <w:t xml:space="preserve">productos </w:t>
            </w:r>
            <w:r w:rsidR="00AD40BF">
              <w:rPr>
                <w:rFonts w:ascii="Helvetica" w:eastAsia="Times New Roman" w:hAnsi="Helvetica" w:cs="Helvetica"/>
                <w:color w:val="222222"/>
                <w:sz w:val="24"/>
                <w:szCs w:val="24"/>
                <w:lang w:eastAsia="es-CO"/>
              </w:rPr>
              <w:t>con</w:t>
            </w:r>
            <w:r>
              <w:rPr>
                <w:rFonts w:ascii="Helvetica" w:eastAsia="Times New Roman" w:hAnsi="Helvetica" w:cs="Helvetica"/>
                <w:color w:val="222222"/>
                <w:sz w:val="24"/>
                <w:szCs w:val="24"/>
                <w:lang w:eastAsia="es-CO"/>
              </w:rPr>
              <w:t xml:space="preserve"> alto valor agregado. </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6AF47F" w14:textId="77777777" w:rsidR="002A18AF" w:rsidRDefault="001C1E94" w:rsidP="00B02898">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Hidrocavitación, extracción, principios activos, ortiga, agraz</w:t>
            </w:r>
          </w:p>
        </w:tc>
      </w:tr>
    </w:tbl>
    <w:p w14:paraId="22259232" w14:textId="77777777" w:rsidR="002A18AF" w:rsidRDefault="002A18AF" w:rsidP="002A18AF">
      <w:pPr>
        <w:spacing w:after="0" w:line="240" w:lineRule="auto"/>
        <w:rPr>
          <w:rFonts w:ascii="Times New Roman" w:eastAsia="Times New Roman" w:hAnsi="Times New Roman" w:cs="Times New Roman"/>
          <w:sz w:val="24"/>
          <w:szCs w:val="24"/>
          <w:lang w:eastAsia="es-CO"/>
        </w:rPr>
      </w:pPr>
    </w:p>
    <w:p w14:paraId="61C3009F" w14:textId="77777777" w:rsidR="009E52A3" w:rsidRDefault="009E52A3"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6DF352C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6664F0D" w14:textId="77777777"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P</w:t>
            </w:r>
            <w:r w:rsidR="002A18AF">
              <w:rPr>
                <w:rFonts w:ascii="Arial" w:eastAsia="Times New Roman" w:hAnsi="Arial" w:cs="Arial"/>
                <w:b/>
                <w:bCs/>
                <w:color w:val="222222"/>
                <w:sz w:val="24"/>
                <w:szCs w:val="24"/>
                <w:lang w:eastAsia="es-CO"/>
              </w:rPr>
              <w:t>roblema de investigación</w:t>
            </w:r>
          </w:p>
        </w:tc>
      </w:tr>
      <w:tr w:rsidR="002A18AF" w14:paraId="3326633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8AE022B" w14:textId="64E1F52E" w:rsidR="00DD6F5D" w:rsidRDefault="00DD6F5D" w:rsidP="00DD6F5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La biodiversidad y posición geográfica de Colombia, conlleva a la tenencia de gran variedad de especies que como la ortiga (</w:t>
            </w:r>
            <w:r w:rsidRPr="000B47BE">
              <w:rPr>
                <w:rFonts w:ascii="Helvetica" w:eastAsia="Times New Roman" w:hAnsi="Helvetica" w:cs="Helvetica"/>
                <w:i/>
                <w:color w:val="222222"/>
                <w:sz w:val="24"/>
                <w:szCs w:val="24"/>
                <w:lang w:eastAsia="es-CO"/>
              </w:rPr>
              <w:t>Urtica dioica</w:t>
            </w:r>
            <w:r>
              <w:rPr>
                <w:rFonts w:ascii="Helvetica" w:eastAsia="Times New Roman" w:hAnsi="Helvetica" w:cs="Helvetica"/>
                <w:color w:val="222222"/>
                <w:sz w:val="24"/>
                <w:szCs w:val="24"/>
                <w:lang w:eastAsia="es-CO"/>
              </w:rPr>
              <w:t>) y el agraz (</w:t>
            </w:r>
            <w:r w:rsidRPr="000B47BE">
              <w:rPr>
                <w:rFonts w:ascii="Helvetica" w:eastAsia="Times New Roman" w:hAnsi="Helvetica" w:cs="Helvetica"/>
                <w:i/>
                <w:color w:val="222222"/>
                <w:sz w:val="24"/>
                <w:szCs w:val="24"/>
                <w:lang w:eastAsia="es-CO"/>
              </w:rPr>
              <w:t>Vaccinium meridionale</w:t>
            </w:r>
            <w:r>
              <w:rPr>
                <w:rFonts w:ascii="Helvetica" w:eastAsia="Times New Roman" w:hAnsi="Helvetica" w:cs="Helvetica"/>
                <w:color w:val="222222"/>
                <w:sz w:val="24"/>
                <w:szCs w:val="24"/>
                <w:lang w:eastAsia="es-CO"/>
              </w:rPr>
              <w:t>), son ideales para la obtención de sustancias de principios activos</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ADDIN CSL_CITATION {"citationItems":[{"id":"ITEM-1","itemData":{"DOI":"10.1590/S0074-02762005000600001","ISSN":"16788060","abstract":"The modern approach to the development of new chemical entities against complex diseases, especially the neglected endemic diseases such as tuberculosis and malaria, is based on the use of defined molecular targets. Among the advantages, this approach allows (i) the search and identification of lead compounds with defined molecular mechanisms against a defined target (e.g. enzymes from defined pathways), (ii) the analysis of a great number of compounds with a favorable cost/benefit ratio, (iii) the development even in the initial stages of compounds with selective toxicity (the fundamental principle of chemotherapy), (iv) the evaluation of plant extracts as well as of pure substances. The current use of such technology, unfortunately, is concentrated in developed countries, especially in the big pharma. This fact contributes in a significant way to hamper the development of innovative new compounds to treat neglected diseases. The large biodiversity within the territory of Brazil puts the country in a strategic position to develop the rational and sustained exploration of new metabolites of therapeutic value. The extension of the country covers a wide range of climates, soil types, and altitudes, providing a unique set of selective pressures for the adaptation of plant life in these scenarios. Chemical diversity is also driven by these forces, in an attempt to best fit the plant communities to the particular abiotic stresses, fauna, and microbes that co-exist with them. Certain areas of vegetation (Amazonian Forest, Atlantic Forest, Araucaria Forest, Cerrado-Brazilian Savanna, and Caatinga) are rich in species and types of environments to be used to search for natural compounds active against tuberculosis, malaria, and chronic-degenerative diseases. The present review describes some strategies to search for natural compounds, whose choice can be based on ethnobotanical and chemotaxonomical studies, and screen for their ability to bind to immobilized drug targets and to inhibit their activities. Molecular cloning, gene knockout, protein expression and purification, N-terminal sequencing, and mass spectrometry are the methods of choice to provide homogeneous drug targets for immobilization by optimized chemical reactions. Plant extract preparations, fractionation of promising plant extracts, propagation protocols and definition of in planta studies to maximize product yield of plant species producing active compounds have to be performed to provide a cont…","author":[{"dropping-particle":"","family":"Basso","given":"Luiz Augusto","non-dropping-particle":"","parse-names":false,"suffix":""},{"dropping-particle":"","family":"Pereira Da Silva","given":"Luiz Hildebrando","non-dropping-particle":"","parse-names":false,"suffix":""},{"dropping-particle":"","family":"Fett-Neto","given":"Arthur Germano","non-dropping-particle":"","parse-names":false,"suffix":""},{"dropping-particle":"","family":"Azevedo","given":"Walter Filgueira","non-dropping-particle":"De","parse-names":false,"suffix":""},{"dropping-particle":"","family":"Moreira","given":"Ícaro De Souza","non-dropping-particle":"","parse-names":false,"suffix":""},{"dropping-particle":"","family":"Palma","given":"Mário Sérgio","non-dropping-particle":"","parse-names":false,"suffix":""},{"dropping-particle":"","family":"Calixto","given":"João Batista","non-dropping-particle":"","parse-names":false,"suffix":""},{"dropping-particle":"","family":"Astolfi Filho","given":"Spartaco","non-dropping-particle":"","parse-names":false,"suffix":""},{"dropping-particle":"","family":"Ribeiro Dos Santos","given":"Ricardo","non-dropping-particle":"","parse-names":false,"suffix":""},{"dropping-particle":"","family":"Pereira Soares","given":"Milena Botelho","non-dropping-particle":"","parse-names":false,"suffix":""},{"dropping-particle":"","family":"Santos","given":"Diógenes Santiago","non-dropping-particle":"","parse-names":false,"suffix":""}],"container-title":"Memorias do Instituto Oswaldo Cruz","id":"ITEM-1","issue":"6","issued":{"date-parts":[["2005"]]},"page":"475-506","title":"The use of biodiversity as source of new chemical entities against defined molecular targets for treatment of malaria, tuberculosis, and T-cell mediated diseases - A Review","type":"article-journal","volume":"100"},"uris":["http://www.mendeley.com/documents/?uuid=a510c8d4-4847-49f2-b966-b39193ed5216","http://www.mendeley.com/documents/?uuid=0e4e9071-cbc7-4fab-bdd5-bafd337b2746"]}],"mendeley":{"formattedCitation":"&lt;sup&gt;1&lt;/sup&gt;","plainTextFormattedCitation":"1","previouslyFormattedCitation":"&lt;sup&gt;1&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47299F">
              <w:rPr>
                <w:rFonts w:ascii="Helvetica" w:eastAsia="Times New Roman" w:hAnsi="Helvetica" w:cs="Helvetica"/>
                <w:noProof/>
                <w:color w:val="222222"/>
                <w:sz w:val="24"/>
                <w:szCs w:val="24"/>
                <w:vertAlign w:val="superscript"/>
                <w:lang w:eastAsia="es-CO"/>
              </w:rPr>
              <w:t>1</w:t>
            </w:r>
            <w:r>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 Este privilegio no ha sido aprovechado apropiadamente, pese a que se han adelantado distintos trabajos de investigación a escala laboratorio, en los cuales, se han mostrado los beneficios de diferentes especies tanto en el campo alimentario, como en el farmacéutico.</w:t>
            </w:r>
          </w:p>
          <w:p w14:paraId="3695EA1D" w14:textId="77777777" w:rsidR="00DD6F5D" w:rsidRDefault="00DD6F5D" w:rsidP="00DD6F5D">
            <w:pPr>
              <w:spacing w:after="0" w:line="240" w:lineRule="auto"/>
              <w:jc w:val="both"/>
              <w:rPr>
                <w:rFonts w:ascii="Helvetica" w:eastAsia="Times New Roman" w:hAnsi="Helvetica" w:cs="Helvetica"/>
                <w:color w:val="222222"/>
                <w:sz w:val="24"/>
                <w:szCs w:val="24"/>
                <w:lang w:eastAsia="es-CO"/>
              </w:rPr>
            </w:pPr>
          </w:p>
          <w:p w14:paraId="304320BF" w14:textId="72AFDEAE" w:rsidR="00DD6F5D" w:rsidRDefault="00DD6F5D" w:rsidP="00DD6F5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La separación de las sustancias biológicamente activas de los materiales inertes o inactivos de una planta se realiza con cierta facilidad a escala laboratorio, mediante el empleo de procesos como son el de extracción con solventes, donde se obtienen por lo menos dos componentes: la solución extraída en su disolvente (el extracto) y el residuo (el bagazo)</w:t>
            </w:r>
            <w:r>
              <w:rPr>
                <w:rFonts w:ascii="Helvetica" w:eastAsia="Times New Roman" w:hAnsi="Helvetica" w:cs="Helvetica"/>
                <w:color w:val="222222"/>
                <w:sz w:val="24"/>
                <w:szCs w:val="24"/>
                <w:lang w:eastAsia="es-CO"/>
              </w:rPr>
              <w:fldChar w:fldCharType="begin" w:fldLock="1"/>
            </w:r>
            <w:r w:rsidR="00623645">
              <w:rPr>
                <w:rFonts w:ascii="Helvetica" w:eastAsia="Times New Roman" w:hAnsi="Helvetica" w:cs="Helvetica"/>
                <w:color w:val="222222"/>
                <w:sz w:val="24"/>
                <w:szCs w:val="24"/>
                <w:lang w:eastAsia="es-CO"/>
              </w:rPr>
              <w:instrText>ADDIN CSL_CITATION {"citationItems":[{"id":"ITEM-1","itemData":{"URL":"http://www.berkem.com/en/expertise-en/plant-extraction","accessed":{"date-parts":[["2019","7","29"]]},"author":[{"dropping-particle":"","family":"Berkem","given":"","non-dropping-particle":"","parse-names":false,"suffix":""}],"id":"ITEM-1","issued":{"date-parts":[["0"]]},"title":"Plant extraction - Berkem - Extraction végétale","type":"webpage"},"uris":["http://www.mendeley.com/documents/?uuid=ae5d6df2-7326-45e6-9a77-42622cb3ba22","http://www.mendeley.com/documents/?uuid=310fe4cd-afa9-40fb-9fd0-90c1fbfa8a2d"]}],"mendeley":{"formattedCitation":"&lt;sup&gt;2&lt;/sup&gt;","plainTextFormattedCitation":"2","previouslyFormattedCitation":"&lt;sup&gt;2&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EB538B">
              <w:rPr>
                <w:rFonts w:ascii="Helvetica" w:eastAsia="Times New Roman" w:hAnsi="Helvetica" w:cs="Helvetica"/>
                <w:noProof/>
                <w:color w:val="222222"/>
                <w:sz w:val="24"/>
                <w:szCs w:val="24"/>
                <w:vertAlign w:val="superscript"/>
                <w:lang w:eastAsia="es-CO"/>
              </w:rPr>
              <w:t>2</w:t>
            </w:r>
            <w:r>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 así como por otros procesos tales como: el de medio de arrastre por vapor, por ultrasonido u otras técnicas existentes. Sin embargo, el escalamiento de estos resulta bastante complejo debido a que no son rentables al realizarse a escala piloto y aún más a nivel industrial. Las dificultades principalmente se encuentran en el almacenamiento y manejo de los volúmenes de solvente a usar, en el calentamiento requerido y la generación del ultrasonido, lo que conlleva, a que la extracción de la sustancia activa a esta escala sea costosa, así como el deterioro de las vitaminas, las proteínas  y otros elementos aprovechables, presentes en el precursor</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ADDIN CSL_CITATION {"citationItems":[{"id":"ITEM-1","itemData":{"DOI":"10.1007/978-3-642-56936-4_2","abstract":"Natural products from medicinal plants, either as pure compounds or as standardized extracts, provide unlimited opportunities for new drug leads because of the unmatched availability of chemical diversity. Due to an increasing demand for chemical diversity in screening programs, seeking therapeutic drugs from natural products, interest particularly in edible plants has grown throughout the world. Botanicals and herbal preparations for medicinal usage contain various types of bioactive compounds. The focus of this paper is on the analytical methodologies, which include the extraction, isolation and characterization of active ingredients in botanicals and herbal preparations. The common problems and key challenges in the extraction, isolation and characterization of active ingredients in botanicals and herbal preparations are discussed. As extraction is the most important step in the analysis of constituents present in botanicals and herbal preparations, the strengths and weaknesses of different extraction techniques are discussed. The analysis of bioactive compounds present in the plant extracts involving the applications of common phytochemical screening assays, chromatographic techniques such as HPLC and, TLC as well as non-chromatographic techniques such as immunoassay and Fourier Transform Infra Red (FTIR) are discussed.","author":[{"dropping-particle":"","family":"S. Sasidharan, Y. Chen, D. Saravanan, K.M. Sundram","given":"L. Yoga Latha","non-dropping-particle":"","parse-names":false,"suffix":""}],"container-title":"Afr J Tradit Complement Altern Med","id":"ITEM-1","issued":{"date-parts":[["2011"]]},"page":"93-130","title":"EXTRACTION, ISOLATION AND CHARACTERIZATION OF BIOACTIVE COMPOUNDS FROM PLANTS’ EXTRACTS","type":"article-journal","volume":"8"},"uris":["http://www.mendeley.com/documents/?uuid=73a68f8e-c3a2-4de9-a75d-e6de66bf3351","http://www.mendeley.com/documents/?uuid=2fbff4ce-995f-4bd2-8b5c-20341fc3c1c6"]}],"mendeley":{"formattedCitation":"&lt;sup&gt;3&lt;/sup&gt;","plainTextFormattedCitation":"3","previouslyFormattedCitation":"&lt;sup&gt;3&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3</w:t>
            </w:r>
            <w:r>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w:t>
            </w:r>
          </w:p>
          <w:p w14:paraId="1A4BFA6F" w14:textId="77777777" w:rsidR="00DD6F5D" w:rsidRDefault="00DD6F5D" w:rsidP="00DD6F5D">
            <w:pPr>
              <w:spacing w:after="0" w:line="240" w:lineRule="auto"/>
              <w:jc w:val="both"/>
              <w:rPr>
                <w:rFonts w:ascii="Helvetica" w:eastAsia="Times New Roman" w:hAnsi="Helvetica" w:cs="Helvetica"/>
                <w:color w:val="222222"/>
                <w:sz w:val="24"/>
                <w:szCs w:val="24"/>
                <w:lang w:eastAsia="es-CO"/>
              </w:rPr>
            </w:pPr>
          </w:p>
          <w:p w14:paraId="6FD32CE4" w14:textId="4E85780F" w:rsidR="00DD6F5D" w:rsidRDefault="00DD6F5D" w:rsidP="00DD6F5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Una tecnología reciente, muy versátil y la cual se puede utilizar para extraer principios activos, es la hidrocavitación</w:t>
            </w:r>
            <w:r>
              <w:rPr>
                <w:rFonts w:ascii="Helvetica" w:eastAsia="Times New Roman" w:hAnsi="Helvetica" w:cs="Helvetica"/>
                <w:color w:val="222222"/>
                <w:sz w:val="24"/>
                <w:szCs w:val="24"/>
                <w:lang w:eastAsia="es-CO"/>
              </w:rPr>
              <w:fldChar w:fldCharType="begin" w:fldLock="1"/>
            </w:r>
            <w:r w:rsidR="00623645">
              <w:rPr>
                <w:rFonts w:ascii="Helvetica" w:eastAsia="Times New Roman" w:hAnsi="Helvetica" w:cs="Helvetica"/>
                <w:color w:val="222222"/>
                <w:sz w:val="24"/>
                <w:szCs w:val="24"/>
                <w:lang w:eastAsia="es-CO"/>
              </w:rPr>
              <w:instrText>ADDIN CSL_CITATION {"citationItems":[{"id":"ITEM-1","itemData":{"DOI":"10.1016/j.ultsonch.2004.03.007","ISSN":"13504177","abstract":"In the present work, the current status of the hydrodynamic cavitation reactors has been reviewed discussing the bubble dynamics analysis, optimum design considerations, design correlations for cavitational intensity (in terms of collapse pressure)/cavitational yield and different successful chemical synthesis applications clearly illustrating the utility of these types of reactors. The theoretical discussion based on the modeling of the bubble dynamics equations aims at understanding the design information related to the dependency of the cavitational intensity on the operating parameters and recommendations have been made for the choice of the optimized conditions of operating parameters. The design information based on the theoretical analysis has also been supported with some experimental illustrations concentrating on the chemical synthesis applications. Assessment of the hydrodynamic cavitation reactors and comparison with the sonochemical reactors has been done by citing the different industrially important reactions (oxidation of toluene, o-xylene, m-xylene, p-xylene, mesitylene, o-nitrotoluene, p-nitrotoluene, m-nitrotoluene, o-chlorotoluene and p-chlorotoulene, and trans-esterification reaction i.e., synthesis of bio-diesel). Some recommendations have also been made for the future work to be carried out as well as the choice of the operating conditions for realizing the dream of industrial scale applications of the cavitational reactors. © 2004 Elsevier B.V. All rights reserved.","author":[{"dropping-particle":"","family":"Gogate","given":"Parag R.","non-dropping-particle":"","parse-names":false,"suffix":""},{"dropping-particle":"","family":"Pandit","given":"Aniruddha B.","non-dropping-particle":"","parse-names":false,"suffix":""}],"container-title":"Ultrasonics Sonochemistry","id":"ITEM-1","issue":"1-2 SPEC. ISS.","issued":{"date-parts":[["2005"]]},"page":"21-27","title":"A review and assessment of hydrodynamic cavitation as a technology for the future","type":"article-journal","volume":"12"},"uris":["http://www.mendeley.com/documents/?uuid=f7423937-9bf5-434a-82ff-60ec550f7483"]}],"mendeley":{"formattedCitation":"&lt;sup&gt;4&lt;/sup&gt;","plainTextFormattedCitation":"4","previouslyFormattedCitation":"&lt;sup&gt;4&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4</w:t>
            </w:r>
            <w:r>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 u</w:t>
            </w:r>
            <w:r w:rsidRPr="004E7490">
              <w:rPr>
                <w:rFonts w:ascii="Helvetica" w:eastAsia="Times New Roman" w:hAnsi="Helvetica" w:cs="Helvetica"/>
                <w:color w:val="222222"/>
                <w:sz w:val="24"/>
                <w:szCs w:val="24"/>
                <w:lang w:eastAsia="es-CO"/>
              </w:rPr>
              <w:t xml:space="preserve">na aplicación prometedora </w:t>
            </w:r>
            <w:r>
              <w:rPr>
                <w:rFonts w:ascii="Helvetica" w:eastAsia="Times New Roman" w:hAnsi="Helvetica" w:cs="Helvetica"/>
                <w:color w:val="222222"/>
                <w:sz w:val="24"/>
                <w:szCs w:val="24"/>
                <w:lang w:eastAsia="es-CO"/>
              </w:rPr>
              <w:t>en</w:t>
            </w:r>
            <w:r w:rsidRPr="004E7490">
              <w:rPr>
                <w:rFonts w:ascii="Helvetica" w:eastAsia="Times New Roman" w:hAnsi="Helvetica" w:cs="Helvetica"/>
                <w:color w:val="222222"/>
                <w:sz w:val="24"/>
                <w:szCs w:val="24"/>
                <w:lang w:eastAsia="es-CO"/>
              </w:rPr>
              <w:t xml:space="preserve"> la extracción de productos microbiológicos tales como pectina, caroteno, taninos y otras preciadas sustancias que se obtienen de compuestos biológicos. Muchas de las sustancias medicinales se</w:t>
            </w:r>
            <w:r>
              <w:rPr>
                <w:rFonts w:ascii="Helvetica" w:eastAsia="Times New Roman" w:hAnsi="Helvetica" w:cs="Helvetica"/>
                <w:color w:val="222222"/>
                <w:sz w:val="24"/>
                <w:szCs w:val="24"/>
                <w:lang w:eastAsia="es-CO"/>
              </w:rPr>
              <w:t xml:space="preserve"> pueden obtener</w:t>
            </w:r>
            <w:r w:rsidRPr="004E7490">
              <w:rPr>
                <w:rFonts w:ascii="Helvetica" w:eastAsia="Times New Roman" w:hAnsi="Helvetica" w:cs="Helvetica"/>
                <w:color w:val="222222"/>
                <w:sz w:val="24"/>
                <w:szCs w:val="24"/>
                <w:lang w:eastAsia="es-CO"/>
              </w:rPr>
              <w:t xml:space="preserve"> mediante extracción sometiendo previamente a la materia prima biológica a procesos hidromecánicos y cavitación.</w:t>
            </w:r>
          </w:p>
          <w:p w14:paraId="136E2C5A" w14:textId="77777777" w:rsidR="00DD6F5D" w:rsidRDefault="00DD6F5D" w:rsidP="00DD6F5D">
            <w:pPr>
              <w:spacing w:after="0" w:line="240" w:lineRule="auto"/>
              <w:jc w:val="both"/>
              <w:rPr>
                <w:rFonts w:ascii="Helvetica" w:eastAsia="Times New Roman" w:hAnsi="Helvetica" w:cs="Helvetica"/>
                <w:color w:val="222222"/>
                <w:sz w:val="24"/>
                <w:szCs w:val="24"/>
                <w:lang w:eastAsia="es-CO"/>
              </w:rPr>
            </w:pPr>
          </w:p>
          <w:p w14:paraId="04A8468D" w14:textId="774AEE42" w:rsidR="00DD6F5D" w:rsidRDefault="00DD6F5D" w:rsidP="00DD6F5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La principal ventaja de esta tecnología es que se puede extraer los componentes a bajas temperaturas, lo cual, conlleva un estado más estable de los productos obtenidos, además de requerir menor consumo de energía y menos tiempo de proceso</w:t>
            </w:r>
            <w:r>
              <w:rPr>
                <w:rFonts w:ascii="Helvetica" w:eastAsia="Times New Roman" w:hAnsi="Helvetica" w:cs="Helvetica"/>
                <w:color w:val="222222"/>
                <w:sz w:val="24"/>
                <w:szCs w:val="24"/>
                <w:lang w:eastAsia="es-CO"/>
              </w:rPr>
              <w:fldChar w:fldCharType="begin" w:fldLock="1"/>
            </w:r>
            <w:r w:rsidR="00623645">
              <w:rPr>
                <w:rFonts w:ascii="Helvetica" w:eastAsia="Times New Roman" w:hAnsi="Helvetica" w:cs="Helvetica"/>
                <w:color w:val="222222"/>
                <w:sz w:val="24"/>
                <w:szCs w:val="24"/>
                <w:lang w:eastAsia="es-CO"/>
              </w:rPr>
              <w:instrText>ADDIN CSL_CITATION {"citationItems":[{"id":"ITEM-1","itemData":{"DOI":"10.1016/j.ces.2007.02.010","ISSN":"00092509","abstract":"Hydrodynamic cavitation has been increasingly used as a substitute to conventional acoustic (or ultrasonic) cavitation for process intensification owing to its easy and efficient operation. In this paper, we have put forth conceptual design of a new kind of hydrodynamic cavitation reactor that uses a converging-diverging nozzle for generating pressure variation required for driving radial motion of cavitation bubbles. Moreover, the reactor uses externally introduced bubbles of a suitable gas (argon or air) for cavitation nucleation. This design differs from earlier designs used by researchers where an orifice plate is used for creating cavitating flow. The new design offers a good control over two crucial parameters that affect the cavitation intensity produced, viz. rate of nucleation and nature of pressure variation driving bubble motion. Using numerical simulations of bubble dynamics and associated heat and mass transfer, trends in cavitation intensity produced in the reactor are assessed with varying design parameters. The results of simulation show that the externally introduced bubbles undergo transient motion in the flow through the nozzle generating moderate cavitation intensity. On the basis of results of simulation, some recommendations have been made for the effective design and scale up of the new kind of hydrodynamic cavitation reactors using concept introduced in this paper. © 2007 Elsevier Ltd. All rights reserved.","author":[{"dropping-particle":"","family":"Sampath Kumar","given":"K.","non-dropping-particle":"","parse-names":false,"suffix":""},{"dropping-particle":"","family":"Moholkar","given":"Vijayanand S.","non-dropping-particle":"","parse-names":false,"suffix":""}],"container-title":"Chemical Engineering Science","id":"ITEM-1","issue":"10","issued":{"date-parts":[["2007"]]},"page":"2698-2711","title":"Conceptual design of a novel hydrodynamic cavitation reactor","type":"article-journal","volume":"62"},"uris":["http://www.mendeley.com/documents/?uuid=f5db5a65-8bda-4e76-9eb4-d99240a92911"]}],"mendeley":{"formattedCitation":"&lt;sup&gt;5&lt;/sup&gt;","plainTextFormattedCitation":"5","previouslyFormattedCitation":"&lt;sup&gt;5&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5</w:t>
            </w:r>
            <w:r>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  Los campos donde hoy se puede aplicar esta tecnología son variados, se puede emplear en la industria alimentaria, biocombustibles, petróleo y gas, r</w:t>
            </w:r>
            <w:r w:rsidRPr="009B2F71">
              <w:rPr>
                <w:rFonts w:ascii="Helvetica" w:eastAsia="Times New Roman" w:hAnsi="Helvetica" w:cs="Helvetica"/>
                <w:color w:val="222222"/>
                <w:sz w:val="24"/>
                <w:szCs w:val="24"/>
                <w:lang w:eastAsia="es-CO"/>
              </w:rPr>
              <w:t>efin</w:t>
            </w:r>
            <w:r>
              <w:rPr>
                <w:rFonts w:ascii="Helvetica" w:eastAsia="Times New Roman" w:hAnsi="Helvetica" w:cs="Helvetica"/>
                <w:color w:val="222222"/>
                <w:sz w:val="24"/>
                <w:szCs w:val="24"/>
                <w:lang w:eastAsia="es-CO"/>
              </w:rPr>
              <w:t>ación</w:t>
            </w:r>
            <w:r w:rsidRPr="009B2F71">
              <w:rPr>
                <w:rFonts w:ascii="Helvetica" w:eastAsia="Times New Roman" w:hAnsi="Helvetica" w:cs="Helvetica"/>
                <w:color w:val="222222"/>
                <w:sz w:val="24"/>
                <w:szCs w:val="24"/>
                <w:lang w:eastAsia="es-CO"/>
              </w:rPr>
              <w:t>, industria química, agricultura, construcción y tratamiento de aguas</w:t>
            </w:r>
            <w:r>
              <w:rPr>
                <w:rFonts w:ascii="Helvetica" w:eastAsia="Times New Roman" w:hAnsi="Helvetica" w:cs="Helvetica"/>
                <w:color w:val="222222"/>
                <w:sz w:val="24"/>
                <w:szCs w:val="24"/>
                <w:lang w:eastAsia="es-CO"/>
              </w:rPr>
              <w:t>,</w:t>
            </w:r>
            <w:r w:rsidRPr="009B2F71">
              <w:rPr>
                <w:rFonts w:ascii="Helvetica" w:eastAsia="Times New Roman" w:hAnsi="Helvetica" w:cs="Helvetica"/>
                <w:color w:val="222222"/>
                <w:sz w:val="24"/>
                <w:szCs w:val="24"/>
                <w:lang w:eastAsia="es-CO"/>
              </w:rPr>
              <w:t xml:space="preserve"> entre otras</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ADDIN CSL_CITATION {"citationItems":[{"id":"ITEM-1","itemData":{"DOI":"10.12913/22998624/94944","ISSN":"2080-4075","author":[{"dropping-particle":"","family":"Vitenko","given":"Tatiana","non-dropping-particle":"","parse-names":false,"suffix":""},{"dropping-particle":"","family":"Droździel","given":"Paweł","non-dropping-particle":"","parse-names":false,"suffix":""},{"dropping-particle":"","family":"Rudawska","given":"Anna","non-dropping-particle":"","parse-names":false,"suffix":""}],"container-title":"Advances in Science and Technology Research Journal","id":"ITEM-1","issue":"3","issued":{"date-parts":[["2018"]]},"page":"158-167","title":"Using Hydrodynamic Cavitation Device in the Industry","type":"article-journal","volume":"12"},"uris":["http://www.mendeley.com/documents/?uuid=2e4cee2c-8869-4d4d-ad9e-a1b20eac3277","http://www.mendeley.com/documents/?uuid=52fedb1e-5445-441e-bcd6-fda30bcbedb0"]}],"mendeley":{"formattedCitation":"&lt;sup&gt;6&lt;/sup&gt;","plainTextFormattedCitation":"6","previouslyFormattedCitation":"&lt;sup&gt;6&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6</w:t>
            </w:r>
            <w:r>
              <w:rPr>
                <w:rFonts w:ascii="Helvetica" w:eastAsia="Times New Roman" w:hAnsi="Helvetica" w:cs="Helvetica"/>
                <w:color w:val="222222"/>
                <w:sz w:val="24"/>
                <w:szCs w:val="24"/>
                <w:lang w:eastAsia="es-CO"/>
              </w:rPr>
              <w:fldChar w:fldCharType="end"/>
            </w:r>
            <w:r w:rsidR="00AD40BF" w:rsidRPr="00AD40BF">
              <w:rPr>
                <w:rFonts w:ascii="Helvetica" w:eastAsia="Times New Roman" w:hAnsi="Helvetica" w:cs="Helvetica"/>
                <w:color w:val="222222"/>
                <w:sz w:val="24"/>
                <w:szCs w:val="24"/>
                <w:vertAlign w:val="superscript"/>
                <w:lang w:eastAsia="es-CO"/>
              </w:rPr>
              <w:t>,</w:t>
            </w:r>
            <w:r>
              <w:rPr>
                <w:rFonts w:ascii="Helvetica" w:eastAsia="Times New Roman" w:hAnsi="Helvetica" w:cs="Helvetica"/>
                <w:color w:val="222222"/>
                <w:sz w:val="24"/>
                <w:szCs w:val="24"/>
                <w:lang w:eastAsia="es-CO"/>
              </w:rPr>
              <w:fldChar w:fldCharType="begin" w:fldLock="1"/>
            </w:r>
            <w:r w:rsidR="00623645">
              <w:rPr>
                <w:rFonts w:ascii="Helvetica" w:eastAsia="Times New Roman" w:hAnsi="Helvetica" w:cs="Helvetica"/>
                <w:color w:val="222222"/>
                <w:sz w:val="24"/>
                <w:szCs w:val="24"/>
                <w:lang w:eastAsia="es-CO"/>
              </w:rPr>
              <w:instrText>ADDIN CSL_CITATION {"citationItems":[{"id":"ITEM-1","itemData":{"DOI":"10.1016/j.ultsonch.2012.07.009","ISSN":"18732828","abstract":"The present work demonstrates the application of a hydrodynamic cavitation reactor for the synthesis of biodiesel with used frying oil as a feedstock. The synthesis involved the transesterification of used frying oil (UFO) with methanol in the presence of potassium hydroxide as a catalyst. The effect of geometry and upstream pressure of a cavitating orifice plate on the rate of transesterification reaction has been studied. It is observed that the micro level turbulence created by hydrodynamic cavitation somewhat overcomes the mass transfer limitations for triphasic transesterification reaction. The significant effects of upstream pressure on the rate of formation of methyl esters have been seen. It has been observed that flow geometry of orifice plate plays a crucial role in process intensification. With an optimized plate geometry of 2 mm hole diameter and 25 holes, more than 95% of triglycerides have been converted to methyl esters in 10 min of reaction time with cavitational yield of 1.28 × 10-3 (Grams of methyl esters produced per Joule of energy supplied). The potential of UFO to produce good quality methyl esters has been demonstrated. © 2012 Elsevier B.V. All rights reserved.","author":[{"dropping-particle":"","family":"Ghayal","given":"Dyneshwar","non-dropping-particle":"","parse-names":false,"suffix":""},{"dropping-particle":"","family":"Pandit","given":"Aniruddha B.","non-dropping-particle":"","parse-names":false,"suffix":""},{"dropping-particle":"","family":"Rathod","given":"Virendra K.","non-dropping-particle":"","parse-names":false,"suffix":""}],"container-title":"Ultrasonics Sonochemistry","id":"ITEM-1","issue":"1","issued":{"date-parts":[["2013"]]},"page":"322-328","publisher":"Elsevier B.V.","title":"Optimization of biodiesel production in a hydrodynamic cavitation reactor using used frying oil","type":"article-journal","volume":"20"},"uris":["http://www.mendeley.com/documents/?uuid=dd799238-f41c-456a-b673-133e08980a95"]}],"mendeley":{"formattedCitation":"&lt;sup&gt;7&lt;/sup&gt;","plainTextFormattedCitation":"7","previouslyFormattedCitation":"&lt;sup&gt;7&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7</w:t>
            </w:r>
            <w:r>
              <w:rPr>
                <w:rFonts w:ascii="Helvetica" w:eastAsia="Times New Roman" w:hAnsi="Helvetica" w:cs="Helvetica"/>
                <w:color w:val="222222"/>
                <w:sz w:val="24"/>
                <w:szCs w:val="24"/>
                <w:lang w:eastAsia="es-CO"/>
              </w:rPr>
              <w:fldChar w:fldCharType="end"/>
            </w:r>
            <w:r w:rsidR="00AD40BF" w:rsidRPr="00AD40BF">
              <w:rPr>
                <w:rFonts w:ascii="Helvetica" w:eastAsia="Times New Roman" w:hAnsi="Helvetica" w:cs="Helvetica"/>
                <w:color w:val="222222"/>
                <w:sz w:val="24"/>
                <w:szCs w:val="24"/>
                <w:vertAlign w:val="superscript"/>
                <w:lang w:eastAsia="es-CO"/>
              </w:rPr>
              <w:t>,</w:t>
            </w:r>
            <w:r>
              <w:rPr>
                <w:rFonts w:ascii="Helvetica" w:eastAsia="Times New Roman" w:hAnsi="Helvetica" w:cs="Helvetica"/>
                <w:color w:val="222222"/>
                <w:sz w:val="24"/>
                <w:szCs w:val="24"/>
                <w:lang w:eastAsia="es-CO"/>
              </w:rPr>
              <w:fldChar w:fldCharType="begin" w:fldLock="1"/>
            </w:r>
            <w:r w:rsidR="00623645">
              <w:rPr>
                <w:rFonts w:ascii="Helvetica" w:eastAsia="Times New Roman" w:hAnsi="Helvetica" w:cs="Helvetica"/>
                <w:color w:val="222222"/>
                <w:sz w:val="24"/>
                <w:szCs w:val="24"/>
                <w:lang w:eastAsia="es-CO"/>
              </w:rPr>
              <w:instrText>ADDIN CSL_CITATION {"citationItems":[{"id":"ITEM-1","itemData":{"DOI":"10.1021/ja972171i","ISSN":"00027863","abstract":"In a typical run, 12a 60 mL of 1.0 M KI in purified water saturated with carbon tetrachloride was introduced at a constant flow rate into the Microfluidizer with a liquid pressure of 1.24 kbar. The reaction solution temperature ","author":[{"dropping-particle":"","family":"Suslick","given":"K. S.","non-dropping-particle":"","parse-names":false,"suffix":""},{"dropping-particle":"","family":"Mdleleni","given":"M. M.","non-dropping-particle":"","parse-names":false,"suffix":""},{"dropping-particle":"","family":"Ries","given":"J. T.","non-dropping-particle":"","parse-names":false,"suffix":""}],"container-title":"Journal of the American Chemical Society","id":"ITEM-1","issued":{"date-parts":[["1997"]]},"title":"Chemistry induced by hydrodynamic cavitation","type":"article-journal"},"uris":["http://www.mendeley.com/documents/?uuid=4a4d29aa-e7f1-3f47-9ac6-1a04f1acb17d"]}],"mendeley":{"formattedCitation":"&lt;sup&gt;8&lt;/sup&gt;","plainTextFormattedCitation":"8","previouslyFormattedCitation":"&lt;sup&gt;8&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8</w:t>
            </w:r>
            <w:r>
              <w:rPr>
                <w:rFonts w:ascii="Helvetica" w:eastAsia="Times New Roman" w:hAnsi="Helvetica" w:cs="Helvetica"/>
                <w:color w:val="222222"/>
                <w:sz w:val="24"/>
                <w:szCs w:val="24"/>
                <w:lang w:eastAsia="es-CO"/>
              </w:rPr>
              <w:fldChar w:fldCharType="end"/>
            </w:r>
            <w:r w:rsidRPr="009B2F71">
              <w:rPr>
                <w:rFonts w:ascii="Helvetica" w:eastAsia="Times New Roman" w:hAnsi="Helvetica" w:cs="Helvetica"/>
                <w:color w:val="222222"/>
                <w:sz w:val="24"/>
                <w:szCs w:val="24"/>
                <w:lang w:eastAsia="es-CO"/>
              </w:rPr>
              <w:t>.</w:t>
            </w:r>
          </w:p>
          <w:p w14:paraId="46A73822" w14:textId="77777777" w:rsidR="00DD6F5D" w:rsidRDefault="00DD6F5D" w:rsidP="00DD6F5D">
            <w:pPr>
              <w:spacing w:after="0" w:line="240" w:lineRule="auto"/>
              <w:jc w:val="both"/>
              <w:rPr>
                <w:rFonts w:ascii="Helvetica" w:eastAsia="Times New Roman" w:hAnsi="Helvetica" w:cs="Helvetica"/>
                <w:color w:val="222222"/>
                <w:sz w:val="24"/>
                <w:szCs w:val="24"/>
                <w:lang w:eastAsia="es-CO"/>
              </w:rPr>
            </w:pPr>
          </w:p>
          <w:p w14:paraId="182150F0" w14:textId="59B9C5AA" w:rsidR="00DD6F5D" w:rsidRDefault="00DD6F5D" w:rsidP="00DD6F5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la Universidad Santo Tomás se ha realizado el diseño, fabricación y puesta en marcha de un equipo de hidrocavitación, con el cual, ya que no se han trabajado con varias especies de consecución local, se propone realizar pruebas para la extracción de componentes activos a partir de la ortiga (</w:t>
            </w:r>
            <w:r w:rsidRPr="000B47BE">
              <w:rPr>
                <w:rFonts w:ascii="Helvetica" w:eastAsia="Times New Roman" w:hAnsi="Helvetica" w:cs="Helvetica"/>
                <w:i/>
                <w:color w:val="222222"/>
                <w:sz w:val="24"/>
                <w:szCs w:val="24"/>
                <w:lang w:eastAsia="es-CO"/>
              </w:rPr>
              <w:t>Urtica dioica</w:t>
            </w:r>
            <w:r>
              <w:rPr>
                <w:rFonts w:ascii="Helvetica" w:eastAsia="Times New Roman" w:hAnsi="Helvetica" w:cs="Helvetica"/>
                <w:color w:val="222222"/>
                <w:sz w:val="24"/>
                <w:szCs w:val="24"/>
                <w:lang w:eastAsia="es-CO"/>
              </w:rPr>
              <w:t>) y el agraz (</w:t>
            </w:r>
            <w:r w:rsidRPr="000B47BE">
              <w:rPr>
                <w:rFonts w:ascii="Helvetica" w:eastAsia="Times New Roman" w:hAnsi="Helvetica" w:cs="Helvetica"/>
                <w:i/>
                <w:color w:val="222222"/>
                <w:sz w:val="24"/>
                <w:szCs w:val="24"/>
                <w:lang w:eastAsia="es-CO"/>
              </w:rPr>
              <w:t>Vaccinium meridionale</w:t>
            </w:r>
            <w:r>
              <w:rPr>
                <w:rFonts w:ascii="Helvetica" w:eastAsia="Times New Roman" w:hAnsi="Helvetica" w:cs="Helvetica"/>
                <w:color w:val="222222"/>
                <w:sz w:val="24"/>
                <w:szCs w:val="24"/>
                <w:lang w:eastAsia="es-CO"/>
              </w:rPr>
              <w:t>), de manera que se evalúe su eficiencia y pertinencia a nivel de laboratorio y en una fase posterior plantear una planta piloto, que permita hacer de esta tecnología una posibilidad de generación de empresa.</w:t>
            </w:r>
          </w:p>
          <w:p w14:paraId="512ABFD5" w14:textId="77777777" w:rsidR="00DD6F5D" w:rsidRDefault="00DD6F5D" w:rsidP="00DD6F5D">
            <w:pPr>
              <w:spacing w:after="0" w:line="240" w:lineRule="auto"/>
              <w:jc w:val="both"/>
              <w:rPr>
                <w:rFonts w:ascii="Helvetica" w:eastAsia="Times New Roman" w:hAnsi="Helvetica" w:cs="Helvetica"/>
                <w:color w:val="222222"/>
                <w:sz w:val="24"/>
                <w:szCs w:val="24"/>
                <w:lang w:eastAsia="es-CO"/>
              </w:rPr>
            </w:pPr>
          </w:p>
          <w:p w14:paraId="2484647F" w14:textId="77777777" w:rsidR="00E6008D" w:rsidRDefault="00DD6F5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 partir de lo anterior, se propone como pregunta de investigación: ¿Qué tan eficiente es la tecnología de hidrocavitación en la extracción de principios activos a partir de la ortiga (</w:t>
            </w:r>
            <w:r w:rsidRPr="000B47BE">
              <w:rPr>
                <w:rFonts w:ascii="Helvetica" w:eastAsia="Times New Roman" w:hAnsi="Helvetica" w:cs="Helvetica"/>
                <w:i/>
                <w:color w:val="222222"/>
                <w:sz w:val="24"/>
                <w:szCs w:val="24"/>
                <w:lang w:eastAsia="es-CO"/>
              </w:rPr>
              <w:t>Urtica dioica</w:t>
            </w:r>
            <w:r w:rsidR="00B02898">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y el agraz (</w:t>
            </w:r>
            <w:r w:rsidRPr="000B47BE">
              <w:rPr>
                <w:rFonts w:ascii="Helvetica" w:eastAsia="Times New Roman" w:hAnsi="Helvetica" w:cs="Helvetica"/>
                <w:i/>
                <w:color w:val="222222"/>
                <w:sz w:val="24"/>
                <w:szCs w:val="24"/>
                <w:lang w:eastAsia="es-CO"/>
              </w:rPr>
              <w:t>Vaccinium meridionale</w:t>
            </w:r>
            <w:r>
              <w:rPr>
                <w:rFonts w:ascii="Helvetica" w:eastAsia="Times New Roman" w:hAnsi="Helvetica" w:cs="Helvetica"/>
                <w:color w:val="222222"/>
                <w:sz w:val="24"/>
                <w:szCs w:val="24"/>
                <w:lang w:eastAsia="es-CO"/>
              </w:rPr>
              <w:t>)?</w:t>
            </w:r>
          </w:p>
          <w:p w14:paraId="658179B1" w14:textId="5E4E45F0" w:rsidR="009E52A3" w:rsidRDefault="009E52A3">
            <w:pPr>
              <w:spacing w:after="0" w:line="240" w:lineRule="auto"/>
              <w:jc w:val="both"/>
              <w:rPr>
                <w:rFonts w:ascii="Helvetica" w:eastAsia="Times New Roman" w:hAnsi="Helvetica" w:cs="Helvetica"/>
                <w:color w:val="222222"/>
                <w:sz w:val="24"/>
                <w:szCs w:val="24"/>
                <w:lang w:eastAsia="es-CO"/>
              </w:rPr>
            </w:pPr>
          </w:p>
        </w:tc>
      </w:tr>
    </w:tbl>
    <w:p w14:paraId="62B97F6F" w14:textId="77777777" w:rsidR="002A18AF" w:rsidRDefault="002A18AF" w:rsidP="002A18AF">
      <w:pPr>
        <w:spacing w:after="0" w:line="240" w:lineRule="auto"/>
        <w:rPr>
          <w:rFonts w:ascii="Times New Roman" w:eastAsia="Times New Roman" w:hAnsi="Times New Roman" w:cs="Times New Roman"/>
          <w:sz w:val="24"/>
          <w:szCs w:val="24"/>
          <w:lang w:eastAsia="es-CO"/>
        </w:rPr>
      </w:pPr>
    </w:p>
    <w:p w14:paraId="06101AB5" w14:textId="77777777" w:rsidR="009E52A3" w:rsidRDefault="009E52A3"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1127EB6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15ABD97"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Justificación</w:t>
            </w:r>
          </w:p>
        </w:tc>
      </w:tr>
      <w:tr w:rsidR="002A18AF" w14:paraId="334931F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362465B" w14:textId="0C014FD7" w:rsidR="002F299A" w:rsidRPr="001D2BC8" w:rsidRDefault="002F299A" w:rsidP="002F299A">
            <w:pPr>
              <w:spacing w:after="0" w:line="240" w:lineRule="auto"/>
              <w:jc w:val="both"/>
              <w:rPr>
                <w:rFonts w:ascii="Helvetica" w:eastAsia="Times New Roman" w:hAnsi="Helvetica" w:cs="Helvetica"/>
                <w:color w:val="222222"/>
                <w:sz w:val="24"/>
                <w:szCs w:val="24"/>
                <w:lang w:eastAsia="es-CO"/>
              </w:rPr>
            </w:pPr>
            <w:r w:rsidRPr="001D2BC8">
              <w:rPr>
                <w:rFonts w:ascii="Helvetica" w:eastAsia="Times New Roman" w:hAnsi="Helvetica" w:cs="Helvetica"/>
                <w:color w:val="222222"/>
                <w:sz w:val="24"/>
                <w:szCs w:val="24"/>
                <w:lang w:eastAsia="es-CO"/>
              </w:rPr>
              <w:t>La diversidad de plantas es un componente esencial de la biosfera y sustenta el desarrollo de la sociedad en todo el mundo</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ADDIN CSL_CITATION {"citationItems":[{"id":"ITEM-1","itemData":{"ISBN":"1-55963-227-5","abstract":"Bioprospecting is the exploration of biodiversity for new biological resources of social and economic value. It is carried out by a wide variety of industries that include pharmaceuticals, botanical medicines, crop protection, cosmetics, horticulture, agricultural seeds, environmental monitoring, manufacturing, and construction. There are between 5 million and 30 million species on Earth, each one containing many thousands of genes. However, fewer than 2 million species have been described, and knowledge of the global distribution of species is limited. History reveals that less than 1% of species have provided the basic resources for the development of all civilizations thus far, so it is reasonable to expect that the application of new technologies to the exploration of the currently unidentified and overwhelming majority of species will yield many more benefits for humanity.","author":[{"dropping-particle":"","family":"Beattie","given":"Andrew J.","non-dropping-particle":"","parse-names":false,"suffix":""},{"dropping-particle":"","family":"Barthlott","given":"Wilhelm","non-dropping-particle":"","parse-names":false,"suffix":""},{"dropping-particle":"","family":"Elisabetsky","given":"Elaine","non-dropping-particle":"","parse-names":false,"suffix":""},{"dropping-particle":"","family":"Farrel","given":"Roberta","non-dropping-particle":"","parse-names":false,"suffix":""},{"dropping-particle":"","family":"Kheng","given":"Chua Teck","non-dropping-particle":"","parse-names":false,"suffix":""},{"dropping-particle":"","family":"Prance","given":"Iain","non-dropping-particle":"","parse-names":false,"suffix":""},{"dropping-particle":"","family":"Rosenthal","given":"Joshua","non-dropping-particle":"","parse-names":false,"suffix":""},{"dropping-particle":"","family":"Simpson","given":"David","non-dropping-particle":"","parse-names":false,"suffix":""},{"dropping-particle":"","family":"Leakey","given":"Roger","non-dropping-particle":"","parse-names":false,"suffix":""},{"dropping-particle":"","family":"Wolfson","given":"Maureen","non-dropping-particle":"","parse-names":false,"suffix":""},{"dropping-particle":"","family":"Kate","given":"Kerry","non-dropping-particle":"","parse-names":false,"suffix":""},{"dropping-particle":"","family":"Editor","given":"Review","non-dropping-particle":"","parse-names":false,"suffix":""},{"dropping-particle":"","family":"Laird","given":"Sarah","non-dropping-particle":"","parse-names":false,"suffix":""}],"container-title":"Ecosystems and Human Well-Being: Current State and Trends","id":"ITEM-1","issued":{"date-parts":[["2005"]]},"page":"273-295","title":"CH. 10 New Products and Industries from Biodiversity","type":"article-journal"},"uris":["http://www.mendeley.com/documents/?uuid=b7b394bf-08f5-45fc-acec-49e81cf78965","http://www.mendeley.com/documents/?uuid=8eca4b2c-9c54-4fd7-9233-7136f559e515"]}],"mendeley":{"formattedCitation":"&lt;sup&gt;9&lt;/sup&gt;","plainTextFormattedCitation":"9","previouslyFormattedCitation":"&lt;sup&gt;9&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9</w:t>
            </w:r>
            <w:r>
              <w:rPr>
                <w:rFonts w:ascii="Helvetica" w:eastAsia="Times New Roman" w:hAnsi="Helvetica" w:cs="Helvetica"/>
                <w:color w:val="222222"/>
                <w:sz w:val="24"/>
                <w:szCs w:val="24"/>
                <w:lang w:eastAsia="es-CO"/>
              </w:rPr>
              <w:fldChar w:fldCharType="end"/>
            </w:r>
            <w:r w:rsidRPr="001D2BC8">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Las</w:t>
            </w:r>
            <w:r w:rsidRPr="001D2BC8">
              <w:rPr>
                <w:rFonts w:ascii="Helvetica" w:eastAsia="Times New Roman" w:hAnsi="Helvetica" w:cs="Helvetica"/>
                <w:color w:val="222222"/>
                <w:sz w:val="24"/>
                <w:szCs w:val="24"/>
                <w:lang w:eastAsia="es-CO"/>
              </w:rPr>
              <w:t xml:space="preserve"> necesidades básicas</w:t>
            </w:r>
            <w:r>
              <w:rPr>
                <w:rFonts w:ascii="Helvetica" w:eastAsia="Times New Roman" w:hAnsi="Helvetica" w:cs="Helvetica"/>
                <w:color w:val="222222"/>
                <w:sz w:val="24"/>
                <w:szCs w:val="24"/>
                <w:lang w:eastAsia="es-CO"/>
              </w:rPr>
              <w:t xml:space="preserve"> de la humanidad</w:t>
            </w:r>
            <w:r w:rsidRPr="001D2BC8">
              <w:rPr>
                <w:rFonts w:ascii="Helvetica" w:eastAsia="Times New Roman" w:hAnsi="Helvetica" w:cs="Helvetica"/>
                <w:color w:val="222222"/>
                <w:sz w:val="24"/>
                <w:szCs w:val="24"/>
                <w:lang w:eastAsia="es-CO"/>
              </w:rPr>
              <w:t xml:space="preserve"> son abastecidas por las plantas</w:t>
            </w:r>
            <w:r>
              <w:rPr>
                <w:rFonts w:ascii="Helvetica" w:eastAsia="Times New Roman" w:hAnsi="Helvetica" w:cs="Helvetica"/>
                <w:color w:val="222222"/>
                <w:sz w:val="24"/>
                <w:szCs w:val="24"/>
                <w:lang w:eastAsia="es-CO"/>
              </w:rPr>
              <w:t>, s</w:t>
            </w:r>
            <w:r w:rsidRPr="008648C9">
              <w:rPr>
                <w:rFonts w:ascii="Helvetica" w:eastAsia="Times New Roman" w:hAnsi="Helvetica" w:cs="Helvetica"/>
                <w:color w:val="222222"/>
                <w:sz w:val="24"/>
                <w:szCs w:val="24"/>
                <w:lang w:eastAsia="es-CO"/>
              </w:rPr>
              <w:t xml:space="preserve">in plantas que mantengan y renueven la biosfera, no habría lugar en ella para </w:t>
            </w:r>
            <w:r>
              <w:rPr>
                <w:rFonts w:ascii="Helvetica" w:eastAsia="Times New Roman" w:hAnsi="Helvetica" w:cs="Helvetica"/>
                <w:color w:val="222222"/>
                <w:sz w:val="24"/>
                <w:szCs w:val="24"/>
                <w:lang w:eastAsia="es-CO"/>
              </w:rPr>
              <w:t>los seres vivos</w:t>
            </w:r>
            <w:r w:rsidRPr="008648C9">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w:t>
            </w:r>
            <w:r w:rsidRPr="001D2BC8">
              <w:rPr>
                <w:rFonts w:ascii="Helvetica" w:eastAsia="Times New Roman" w:hAnsi="Helvetica" w:cs="Helvetica"/>
                <w:color w:val="222222"/>
                <w:sz w:val="24"/>
                <w:szCs w:val="24"/>
                <w:lang w:eastAsia="es-CO"/>
              </w:rPr>
              <w:t xml:space="preserve">Las plantas proporcionan el oxígeno del mundo y producen los componentes bioquímicos </w:t>
            </w:r>
            <w:r>
              <w:rPr>
                <w:rFonts w:ascii="Helvetica" w:eastAsia="Times New Roman" w:hAnsi="Helvetica" w:cs="Helvetica"/>
                <w:color w:val="222222"/>
                <w:sz w:val="24"/>
                <w:szCs w:val="24"/>
                <w:lang w:eastAsia="es-CO"/>
              </w:rPr>
              <w:t>no solo para los</w:t>
            </w:r>
            <w:r w:rsidRPr="001D2BC8">
              <w:rPr>
                <w:rFonts w:ascii="Helvetica" w:eastAsia="Times New Roman" w:hAnsi="Helvetica" w:cs="Helvetica"/>
                <w:color w:val="222222"/>
                <w:sz w:val="24"/>
                <w:szCs w:val="24"/>
                <w:lang w:eastAsia="es-CO"/>
              </w:rPr>
              <w:t xml:space="preserve"> alimentos</w:t>
            </w:r>
            <w:r>
              <w:rPr>
                <w:rFonts w:ascii="Helvetica" w:eastAsia="Times New Roman" w:hAnsi="Helvetica" w:cs="Helvetica"/>
                <w:color w:val="222222"/>
                <w:sz w:val="24"/>
                <w:szCs w:val="24"/>
                <w:lang w:eastAsia="es-CO"/>
              </w:rPr>
              <w:t>, sino también para medicamentos, farmacologícos, cosmetológicos, herbicidas, biocombustibles, entre otros</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ADDIN CSL_CITATION {"citationItems":[{"id":"ITEM-1","itemData":{"DOI":"10.15517/rbt.v60i4.2071","ISSN":"22152075","abstract":"On a global scale, people have used plants to treat diseases and infections, and this has raised interest on the plant biodiversity potencial in the search of antimicrobial principles. In this work, 75 crude n-hexanes, dichloromethane and methanol extracts from the aerial parts of 25 plants belonging to four botanical families (Asteraceae, Euphorbiaceae, Rubiaceae and Solanaceae), collected at the Natural Regional Park Ucumari (Risaralda, Colombia), were evaluated for their antibacterial and antifungal activities by the agar well diffusion method. The antibacterial activities were assayed against two Gram-positive bacteria Staphylococcus aureus and Bacillus subtilis, and three Gram-negative ones named, Klebsiella pneumoniae, Escherichia coli and Pseudomonas aeruginosa. In addition, the same plant extracts were tested against the yeast Candida albicans and the fungi Aspergillus fumigatus and Fusarium solani. Overall, the plant extracts examined displayed better bactericide rather than fungicide activities. In general, the best antibacterial activity was showed by the plant extracts from the Rubiaceae family, followed in order by the extracts from the Euphorbiaceae and Solanaceae ones. It is important to emphasize the great activity displayed by the methanol extract of Alchornea coelophylla (Euphorbiaceae) that inhibited four out of five bacteria tested (B. Subtilis, P. aeruginosa, S. aureus and E. coli). Furthermore, the best Minimal Inhibitory Concentration for the extracts with antifungal activities were displayed by the dichloromethane extracts from Acalypha diversifolia and Euphorbia sp (Euphorbiaceae). The most susceptible fungus evaluated was F. Solani since 60% and 20% of the dichloromethane and methanol extracts evaluated inhibited the growth of this phytopathogenic fungus. The antimicrobial activity of the different plant extracts examined in this work could be related to the secondary metabolites contents and their interaction and susceptibility of pathogenic microorganism evaluated.","author":[{"dropping-particle":"","family":"Niño","given":"Jaime","non-dropping-particle":"","parse-names":false,"suffix":""},{"dropping-particle":"","family":"Mosquera","given":"Oscar M.","non-dropping-particle":"","parse-names":false,"suffix":""},{"dropping-particle":"","family":"Correa","given":"Yaned M.","non-dropping-particle":"","parse-names":false,"suffix":""}],"container-title":"Revista de Biologia Tropical","id":"ITEM-1","issue":"4","issued":{"date-parts":[["2012"]]},"page":"1535-1542","title":"Antibacterial and antifungal activities of crude plant extracts from Colombian biodiversity","type":"article-journal","volume":"60"},"uris":["http://www.mendeley.com/documents/?uuid=9fc91dd2-6d7d-4486-8f30-4e053207324f","http://www.mendeley.com/documents/?uuid=c41f6e9d-26e8-4ecf-9602-226eb4911834"]}],"mendeley":{"formattedCitation":"&lt;sup&gt;10&lt;/sup&gt;","plainTextFormattedCitation":"10","previouslyFormattedCitation":"&lt;sup&gt;10&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6A6318">
              <w:rPr>
                <w:rFonts w:ascii="Helvetica" w:eastAsia="Times New Roman" w:hAnsi="Helvetica" w:cs="Helvetica"/>
                <w:noProof/>
                <w:color w:val="222222"/>
                <w:sz w:val="24"/>
                <w:szCs w:val="24"/>
                <w:vertAlign w:val="superscript"/>
                <w:lang w:eastAsia="es-CO"/>
              </w:rPr>
              <w:t>10</w:t>
            </w:r>
            <w:r>
              <w:rPr>
                <w:rFonts w:ascii="Helvetica" w:eastAsia="Times New Roman" w:hAnsi="Helvetica" w:cs="Helvetica"/>
                <w:color w:val="222222"/>
                <w:sz w:val="24"/>
                <w:szCs w:val="24"/>
                <w:lang w:eastAsia="es-CO"/>
              </w:rPr>
              <w:fldChar w:fldCharType="end"/>
            </w:r>
            <w:r w:rsidRPr="001D2BC8">
              <w:rPr>
                <w:rFonts w:ascii="Helvetica" w:eastAsia="Times New Roman" w:hAnsi="Helvetica" w:cs="Helvetica"/>
                <w:color w:val="222222"/>
                <w:sz w:val="24"/>
                <w:szCs w:val="24"/>
                <w:lang w:eastAsia="es-CO"/>
              </w:rPr>
              <w:t xml:space="preserve">. A pesar del desarrollo global y la creciente sofisticación de la agricultura, la horticultura y la silvicultura, las plantas silvestres siguen proporcionando una gran diversidad </w:t>
            </w:r>
            <w:r>
              <w:rPr>
                <w:rFonts w:ascii="Helvetica" w:eastAsia="Times New Roman" w:hAnsi="Helvetica" w:cs="Helvetica"/>
                <w:color w:val="222222"/>
                <w:sz w:val="24"/>
                <w:szCs w:val="24"/>
                <w:lang w:eastAsia="es-CO"/>
              </w:rPr>
              <w:t xml:space="preserve">de </w:t>
            </w:r>
            <w:r w:rsidRPr="001D2BC8">
              <w:rPr>
                <w:rFonts w:ascii="Helvetica" w:eastAsia="Times New Roman" w:hAnsi="Helvetica" w:cs="Helvetica"/>
                <w:color w:val="222222"/>
                <w:sz w:val="24"/>
                <w:szCs w:val="24"/>
                <w:lang w:eastAsia="es-CO"/>
              </w:rPr>
              <w:t xml:space="preserve">subsistencia </w:t>
            </w:r>
            <w:r>
              <w:rPr>
                <w:rFonts w:ascii="Helvetica" w:eastAsia="Times New Roman" w:hAnsi="Helvetica" w:cs="Helvetica"/>
                <w:color w:val="222222"/>
                <w:sz w:val="24"/>
                <w:szCs w:val="24"/>
                <w:lang w:eastAsia="es-CO"/>
              </w:rPr>
              <w:t xml:space="preserve">como </w:t>
            </w:r>
            <w:r w:rsidRPr="001D2BC8">
              <w:rPr>
                <w:rFonts w:ascii="Helvetica" w:eastAsia="Times New Roman" w:hAnsi="Helvetica" w:cs="Helvetica"/>
                <w:color w:val="222222"/>
                <w:sz w:val="24"/>
                <w:szCs w:val="24"/>
                <w:lang w:eastAsia="es-CO"/>
              </w:rPr>
              <w:t xml:space="preserve">producto </w:t>
            </w:r>
            <w:r>
              <w:rPr>
                <w:rFonts w:ascii="Helvetica" w:eastAsia="Times New Roman" w:hAnsi="Helvetica" w:cs="Helvetica"/>
                <w:color w:val="222222"/>
                <w:sz w:val="24"/>
                <w:szCs w:val="24"/>
                <w:lang w:eastAsia="es-CO"/>
              </w:rPr>
              <w:t>de gran</w:t>
            </w:r>
            <w:r w:rsidRPr="001D2BC8">
              <w:rPr>
                <w:rFonts w:ascii="Helvetica" w:eastAsia="Times New Roman" w:hAnsi="Helvetica" w:cs="Helvetica"/>
                <w:color w:val="222222"/>
                <w:sz w:val="24"/>
                <w:szCs w:val="24"/>
                <w:lang w:eastAsia="es-CO"/>
              </w:rPr>
              <w:t xml:space="preserve"> valor financiero. Millones de personas en todo el mundo dependen directamente de los recursos de plantas silvestres para al menos parte de sus medios de vida, ya sea para alimentos, medicinas, materiales de construcción, leña o ingresos financieros</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ADDIN CSL_CITATION {"citationItems":[{"id":"ITEM-1","itemData":{"ISBN":"9292255649","abstract":"Plants are essential for all life on earth. The uptake of carbon dioxide, one of the principle greenhouse gases, during photosynthesis is the major pathway by which carbon is removed from the atmosphere and made available to humans and animals for growth and development. Plant diversity also underpins all terrestrial ecosystems and these provide the basic life-support systems on which all life depends. Wild plants are also vitally important in supporting livelihoods for millions of people around the world. The most significant is timber, with wood removals from forests being valued at over US$100 billion annually between 2003 and 2007. Other important wild plant products include fuel wood (valued at US$7 billion in 2005), food (noncultivated plants are especially important in enhancing dietary diversity and combating micro-nutrient deficiency), medicine (global exports of medicinal plants were valued at US$2.2 billion in 2012) and raw materials for cosmetics. A number of plant species are also harvested from the wild for ornamental purposes providing an important source of income for rural communities. However, the unregulated exploitation of wild plants can put severe pressure on populations and even threaten the survival of species. Greater efforts are required to ensure the sustainability of wild harvested plant products. Despite the importance of plants, the total number of species in existence is not yet accurately known. Plant scientists estimate that there are around 400,000 species, but with an average of 2,000 new species being discovered and described every year, and a possible 10-20% of flowering plants as yet unknown to science, this number may still grow. The first consolidated list of the world's plants (The Plant List) was completed in 2010 and now includes over 350,000 accepted plant names. Building on the knowledge gained in producing The Plant List, efforts are now focused on the development of a World Flora Online by 2020. Despite not knowing all the world's plant species, we do know that they are unevenly distributed across the globe, with the majority of plants being found in the tropics. Many plant species are restricted in range with a significant number being single country endemics. Islands have particularly high numbers of endemic plants and are home to 35% of the world's plants. Plant diversity is under increasing threat from the combined effects of habitat loss, pollution, invasive species and climate change. Although this cr…","author":[{"dropping-particle":"","family":"Sharrock","given":"S","non-dropping-particle":"","parse-names":false,"suffix":""},{"dropping-particle":"","family":"Oldfield","given":"S","non-dropping-particle":"","parse-names":false,"suffix":""},{"dropping-particle":"","family":"Wilson","given":"O","non-dropping-particle":"","parse-names":false,"suffix":""}],"container-title":"CBD Technical Series","id":"ITEM-1","issue":"No.81","issued":{"date-parts":[["2014"]]},"number-of-pages":"56 pp.","title":"Plant Conservation Report 2014: a review of progress towards the Global Strategy for Plant Conservation 2011-2020.","type":"book"},"uris":["http://www.mendeley.com/documents/?uuid=efb756d9-c4f5-4e68-8b6c-d8b46cdceafe","http://www.mendeley.com/documents/?uuid=ff2d80db-aafc-4c5e-87ff-f0b83db4326d"]}],"mendeley":{"formattedCitation":"&lt;sup&gt;11&lt;/sup&gt;","plainTextFormattedCitation":"11","previouslyFormattedCitation":"&lt;sup&gt;11&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0820A9">
              <w:rPr>
                <w:rFonts w:ascii="Helvetica" w:eastAsia="Times New Roman" w:hAnsi="Helvetica" w:cs="Helvetica"/>
                <w:noProof/>
                <w:color w:val="222222"/>
                <w:sz w:val="24"/>
                <w:szCs w:val="24"/>
                <w:vertAlign w:val="superscript"/>
                <w:lang w:eastAsia="es-CO"/>
              </w:rPr>
              <w:t>11</w:t>
            </w:r>
            <w:r>
              <w:rPr>
                <w:rFonts w:ascii="Helvetica" w:eastAsia="Times New Roman" w:hAnsi="Helvetica" w:cs="Helvetica"/>
                <w:color w:val="222222"/>
                <w:sz w:val="24"/>
                <w:szCs w:val="24"/>
                <w:lang w:eastAsia="es-CO"/>
              </w:rPr>
              <w:fldChar w:fldCharType="end"/>
            </w:r>
            <w:r w:rsidRPr="001D2BC8">
              <w:rPr>
                <w:rFonts w:ascii="Helvetica" w:eastAsia="Times New Roman" w:hAnsi="Helvetica" w:cs="Helvetica"/>
                <w:color w:val="222222"/>
                <w:sz w:val="24"/>
                <w:szCs w:val="24"/>
                <w:lang w:eastAsia="es-CO"/>
              </w:rPr>
              <w:t>.</w:t>
            </w:r>
          </w:p>
          <w:p w14:paraId="6C31D11F" w14:textId="77777777" w:rsidR="002F299A" w:rsidRDefault="002F299A" w:rsidP="002F299A">
            <w:pPr>
              <w:spacing w:after="0" w:line="240" w:lineRule="auto"/>
              <w:jc w:val="both"/>
              <w:rPr>
                <w:rFonts w:ascii="Helvetica" w:eastAsia="Times New Roman" w:hAnsi="Helvetica" w:cs="Helvetica"/>
                <w:color w:val="222222"/>
                <w:sz w:val="24"/>
                <w:szCs w:val="24"/>
                <w:lang w:eastAsia="es-CO"/>
              </w:rPr>
            </w:pPr>
          </w:p>
          <w:p w14:paraId="4E3077B7" w14:textId="6E084487" w:rsidR="002F299A" w:rsidRDefault="002F299A" w:rsidP="002F299A">
            <w:pPr>
              <w:spacing w:after="0" w:line="240" w:lineRule="auto"/>
              <w:jc w:val="both"/>
              <w:rPr>
                <w:rFonts w:ascii="Helvetica" w:eastAsia="Times New Roman" w:hAnsi="Helvetica" w:cs="Helvetica"/>
                <w:color w:val="222222"/>
                <w:sz w:val="24"/>
                <w:szCs w:val="24"/>
                <w:lang w:eastAsia="es-CO"/>
              </w:rPr>
            </w:pPr>
            <w:r w:rsidRPr="00011C37">
              <w:rPr>
                <w:rFonts w:ascii="Helvetica" w:eastAsia="Times New Roman" w:hAnsi="Helvetica" w:cs="Helvetica"/>
                <w:color w:val="222222"/>
                <w:sz w:val="24"/>
                <w:szCs w:val="24"/>
                <w:lang w:eastAsia="es-CO"/>
              </w:rPr>
              <w:t xml:space="preserve">Colombia, </w:t>
            </w:r>
            <w:r>
              <w:rPr>
                <w:rFonts w:ascii="Helvetica" w:eastAsia="Times New Roman" w:hAnsi="Helvetica" w:cs="Helvetica"/>
                <w:color w:val="222222"/>
                <w:sz w:val="24"/>
                <w:szCs w:val="24"/>
                <w:lang w:eastAsia="es-CO"/>
              </w:rPr>
              <w:t xml:space="preserve">es </w:t>
            </w:r>
            <w:r w:rsidRPr="00011C37">
              <w:rPr>
                <w:rFonts w:ascii="Helvetica" w:eastAsia="Times New Roman" w:hAnsi="Helvetica" w:cs="Helvetica"/>
                <w:color w:val="222222"/>
                <w:sz w:val="24"/>
                <w:szCs w:val="24"/>
                <w:lang w:eastAsia="es-CO"/>
              </w:rPr>
              <w:t xml:space="preserve">un país privilegiado por la naturaleza, donde la diversidad de climas </w:t>
            </w:r>
            <w:r>
              <w:rPr>
                <w:rFonts w:ascii="Helvetica" w:eastAsia="Times New Roman" w:hAnsi="Helvetica" w:cs="Helvetica"/>
                <w:color w:val="222222"/>
                <w:sz w:val="24"/>
                <w:szCs w:val="24"/>
                <w:lang w:eastAsia="es-CO"/>
              </w:rPr>
              <w:t xml:space="preserve">que </w:t>
            </w:r>
            <w:r w:rsidRPr="00011C37">
              <w:rPr>
                <w:rFonts w:ascii="Helvetica" w:eastAsia="Times New Roman" w:hAnsi="Helvetica" w:cs="Helvetica"/>
                <w:color w:val="222222"/>
                <w:sz w:val="24"/>
                <w:szCs w:val="24"/>
                <w:lang w:eastAsia="es-CO"/>
              </w:rPr>
              <w:t>se crea</w:t>
            </w:r>
            <w:r>
              <w:rPr>
                <w:rFonts w:ascii="Helvetica" w:eastAsia="Times New Roman" w:hAnsi="Helvetica" w:cs="Helvetica"/>
                <w:color w:val="222222"/>
                <w:sz w:val="24"/>
                <w:szCs w:val="24"/>
                <w:lang w:eastAsia="es-CO"/>
              </w:rPr>
              <w:t>n</w:t>
            </w:r>
            <w:r w:rsidRPr="00011C37">
              <w:rPr>
                <w:rFonts w:ascii="Helvetica" w:eastAsia="Times New Roman" w:hAnsi="Helvetica" w:cs="Helvetica"/>
                <w:color w:val="222222"/>
                <w:sz w:val="24"/>
                <w:szCs w:val="24"/>
                <w:lang w:eastAsia="es-CO"/>
              </w:rPr>
              <w:t xml:space="preserve"> a través de grandes gradientes de altitud generan una variedad de ecosistemas</w:t>
            </w:r>
            <w:r>
              <w:rPr>
                <w:rFonts w:ascii="Helvetica" w:eastAsia="Times New Roman" w:hAnsi="Helvetica" w:cs="Helvetica"/>
                <w:color w:val="222222"/>
                <w:sz w:val="24"/>
                <w:szCs w:val="24"/>
                <w:lang w:eastAsia="es-CO"/>
              </w:rPr>
              <w:t xml:space="preserve"> representadas en</w:t>
            </w:r>
            <w:r w:rsidRPr="00011C37">
              <w:rPr>
                <w:rFonts w:ascii="Helvetica" w:eastAsia="Times New Roman" w:hAnsi="Helvetica" w:cs="Helvetica"/>
                <w:color w:val="222222"/>
                <w:sz w:val="24"/>
                <w:szCs w:val="24"/>
                <w:lang w:eastAsia="es-CO"/>
              </w:rPr>
              <w:t xml:space="preserve"> punas, bosques de montaña, valles secos, desiertos altos y salinas</w:t>
            </w:r>
            <w:r>
              <w:rPr>
                <w:rFonts w:ascii="Helvetica" w:eastAsia="Times New Roman" w:hAnsi="Helvetica" w:cs="Helvetica"/>
                <w:color w:val="222222"/>
                <w:sz w:val="24"/>
                <w:szCs w:val="24"/>
                <w:lang w:eastAsia="es-CO"/>
              </w:rPr>
              <w:t>, entre o</w:t>
            </w:r>
            <w:r w:rsidR="00B02898">
              <w:rPr>
                <w:rFonts w:ascii="Helvetica" w:eastAsia="Times New Roman" w:hAnsi="Helvetica" w:cs="Helvetica"/>
                <w:color w:val="222222"/>
                <w:sz w:val="24"/>
                <w:szCs w:val="24"/>
                <w:lang w:eastAsia="es-CO"/>
              </w:rPr>
              <w:t xml:space="preserve">tras; </w:t>
            </w:r>
            <w:r>
              <w:rPr>
                <w:rFonts w:ascii="Helvetica" w:eastAsia="Times New Roman" w:hAnsi="Helvetica" w:cs="Helvetica"/>
                <w:color w:val="222222"/>
                <w:sz w:val="24"/>
                <w:szCs w:val="24"/>
                <w:lang w:eastAsia="es-CO"/>
              </w:rPr>
              <w:t>p</w:t>
            </w:r>
            <w:r w:rsidRPr="00011C37">
              <w:rPr>
                <w:rFonts w:ascii="Helvetica" w:eastAsia="Times New Roman" w:hAnsi="Helvetica" w:cs="Helvetica"/>
                <w:color w:val="222222"/>
                <w:sz w:val="24"/>
                <w:szCs w:val="24"/>
                <w:lang w:eastAsia="es-CO"/>
              </w:rPr>
              <w:t>aisajes que tienen di</w:t>
            </w:r>
            <w:r>
              <w:rPr>
                <w:rFonts w:ascii="Helvetica" w:eastAsia="Times New Roman" w:hAnsi="Helvetica" w:cs="Helvetica"/>
                <w:color w:val="222222"/>
                <w:sz w:val="24"/>
                <w:szCs w:val="24"/>
                <w:lang w:eastAsia="es-CO"/>
              </w:rPr>
              <w:t>versidad de plantas y animales;</w:t>
            </w:r>
            <w:r w:rsidRPr="00011C37">
              <w:rPr>
                <w:rFonts w:ascii="Helvetica" w:eastAsia="Times New Roman" w:hAnsi="Helvetica" w:cs="Helvetica"/>
                <w:color w:val="222222"/>
                <w:sz w:val="24"/>
                <w:szCs w:val="24"/>
                <w:lang w:eastAsia="es-CO"/>
              </w:rPr>
              <w:t xml:space="preserve"> está catalogado como uno de los países como la mayor diversidad en el mundo, precedidos </w:t>
            </w:r>
            <w:r>
              <w:rPr>
                <w:rFonts w:ascii="Helvetica" w:eastAsia="Times New Roman" w:hAnsi="Helvetica" w:cs="Helvetica"/>
                <w:color w:val="222222"/>
                <w:sz w:val="24"/>
                <w:szCs w:val="24"/>
                <w:lang w:eastAsia="es-CO"/>
              </w:rPr>
              <w:t xml:space="preserve">solo </w:t>
            </w:r>
            <w:r w:rsidRPr="00011C37">
              <w:rPr>
                <w:rFonts w:ascii="Helvetica" w:eastAsia="Times New Roman" w:hAnsi="Helvetica" w:cs="Helvetica"/>
                <w:color w:val="222222"/>
                <w:sz w:val="24"/>
                <w:szCs w:val="24"/>
                <w:lang w:eastAsia="es-CO"/>
              </w:rPr>
              <w:t>por Brasil y seguido</w:t>
            </w:r>
            <w:r>
              <w:rPr>
                <w:rFonts w:ascii="Helvetica" w:eastAsia="Times New Roman" w:hAnsi="Helvetica" w:cs="Helvetica"/>
                <w:color w:val="222222"/>
                <w:sz w:val="24"/>
                <w:szCs w:val="24"/>
                <w:lang w:eastAsia="es-CO"/>
              </w:rPr>
              <w:t>s por Indonesia, China y México</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 xml:space="preserve">ADDIN CSL_CITATION {"citationItems":[{"id":"ITEM-1","itemData":{"DOI":"10.17533/udea.vitae.v23n3a01","ISSN":"01214004","abstract":"Colombia, a country privileged by nature, where diversity of climates are created by large altitude gradients which generate a variety of ecosystems and beautiful badlands, punas, mountain forests, dry valleys, high deserts and salt flats; landscapes that have diversity of plants and animals and we are cata-loged as one of the countries as the greatest diversity in the world, preceded by Brazil and followed by Indonesia, China and Mexico [1]. We have 28.000 plants and lichens; it is an invaluable heritage that can give to our country competitive advantages in the discovery and development of active ingredients for the pharmaceutical and cosmetic industry by sustainable use of our biodiversity. However, despite our incalculable richness, we are still subjected to the importation of natural ingredients to develop of cosmetic and phytotherapeutic products and drugs. Why is this happening? Respect to pharmaceutical industry, animals, plants, and microorganisms are a major source of me-dicines to treat disease. </w:instrText>
            </w:r>
            <w:r>
              <w:rPr>
                <w:rFonts w:ascii="Helvetica" w:eastAsia="Times New Roman" w:hAnsi="Helvetica" w:cs="Helvetica" w:hint="eastAsia"/>
                <w:color w:val="222222"/>
                <w:sz w:val="24"/>
                <w:szCs w:val="24"/>
                <w:lang w:eastAsia="es-CO"/>
              </w:rPr>
              <w:instrText></w:instrText>
            </w:r>
            <w:r>
              <w:rPr>
                <w:rFonts w:ascii="Helvetica" w:eastAsia="Times New Roman" w:hAnsi="Helvetica" w:cs="Helvetica"/>
                <w:color w:val="222222"/>
                <w:sz w:val="24"/>
                <w:szCs w:val="24"/>
                <w:lang w:eastAsia="es-CO"/>
              </w:rPr>
              <w:instrText>ey have already provided us with treatments for such major diseases as cancer, heart disease, hypertension, inflammatory disorders, and a range of bacterial, fungal, and viral infections. Yet only a tiny fraction of biological species has been studied for potential therapeutic effect. Only 2-5 percent of the estimated 250,000 species of higher plants have been studied. In addition, of the 150 most commonly prescribed drugs in the world, about 50 percent contain at least one major active compound derived from, or patterned a</w:instrText>
            </w:r>
            <w:r>
              <w:rPr>
                <w:rFonts w:ascii="Helvetica" w:eastAsia="Times New Roman" w:hAnsi="Helvetica" w:cs="Helvetica" w:hint="eastAsia"/>
                <w:color w:val="222222"/>
                <w:sz w:val="24"/>
                <w:szCs w:val="24"/>
                <w:lang w:eastAsia="es-CO"/>
              </w:rPr>
              <w:instrText></w:instrText>
            </w:r>
            <w:r>
              <w:rPr>
                <w:rFonts w:ascii="Helvetica" w:eastAsia="Times New Roman" w:hAnsi="Helvetica" w:cs="Helvetica"/>
                <w:color w:val="222222"/>
                <w:sz w:val="24"/>
                <w:szCs w:val="24"/>
                <w:lang w:eastAsia="es-CO"/>
              </w:rPr>
              <w:instrText xml:space="preserve">er compounds from nature. </w:instrText>
            </w:r>
            <w:r>
              <w:rPr>
                <w:rFonts w:ascii="Helvetica" w:eastAsia="Times New Roman" w:hAnsi="Helvetica" w:cs="Helvetica" w:hint="eastAsia"/>
                <w:color w:val="222222"/>
                <w:sz w:val="24"/>
                <w:szCs w:val="24"/>
                <w:lang w:eastAsia="es-CO"/>
              </w:rPr>
              <w:instrText></w:instrText>
            </w:r>
            <w:r>
              <w:rPr>
                <w:rFonts w:ascii="Helvetica" w:eastAsia="Times New Roman" w:hAnsi="Helvetica" w:cs="Helvetica"/>
                <w:color w:val="222222"/>
                <w:sz w:val="24"/>
                <w:szCs w:val="24"/>
                <w:lang w:eastAsia="es-CO"/>
              </w:rPr>
              <w:instrText xml:space="preserve">e use of plants, extracts or active molecules obtained from natural sources for the treatment of cutaneous affections and to maintain healthy skin of healthy skin it dates back to ancient times to today. Egyptians were the first civilization that used natural products to treatment skin problems or to keep their beauty. </w:instrText>
            </w:r>
            <w:r>
              <w:rPr>
                <w:rFonts w:ascii="Helvetica" w:eastAsia="Times New Roman" w:hAnsi="Helvetica" w:cs="Helvetica" w:hint="eastAsia"/>
                <w:color w:val="222222"/>
                <w:sz w:val="24"/>
                <w:szCs w:val="24"/>
                <w:lang w:eastAsia="es-CO"/>
              </w:rPr>
              <w:instrText></w:instrText>
            </w:r>
            <w:r>
              <w:rPr>
                <w:rFonts w:ascii="Helvetica" w:eastAsia="Times New Roman" w:hAnsi="Helvetica" w:cs="Helvetica"/>
                <w:color w:val="222222"/>
                <w:sz w:val="24"/>
                <w:szCs w:val="24"/>
                <w:lang w:eastAsia="es-CO"/>
              </w:rPr>
              <w:instrText>ey used ostrich eggs, olive oil and","author":[{"dropping-particle":"","family":"BRAVO","given":"KARENT","non-dropping-particle":"","parse-names":false,"suffix":""},{"dropping-particle":"","family":"PEREAÑEZ","given":"JAIME ANDRÉS","non-dropping-particle":"","parse-names":false,"suffix":""}],"container-title":"Revista Vitae","id":"ITEM-1","issue":"1","issued":{"date-parts":[["2017"]]},"page":"163","title":"Colombian Biodiversity, an Opportunity for the Strengthening of the Pharmaceutical and Cosmetic Industries","type":"article-journal","volume":"23"},"uris":["http://www.mendeley.com/documents/?uuid=91686973-006f-42fb-8029-8e18c26041b7","http://www.mendeley.com/documents/?uuid=c78b777e-f4ce-4956-9a96-5e4519db41e1"]}],"mendeley":{"formattedCitation":"&lt;sup&gt;12&lt;/sup&gt;","plainTextFormattedCitation":"12","previouslyFormattedCitation":"&lt;sup&gt;12&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0820A9">
              <w:rPr>
                <w:rFonts w:ascii="Helvetica" w:eastAsia="Times New Roman" w:hAnsi="Helvetica" w:cs="Helvetica"/>
                <w:noProof/>
                <w:color w:val="222222"/>
                <w:sz w:val="24"/>
                <w:szCs w:val="24"/>
                <w:vertAlign w:val="superscript"/>
                <w:lang w:eastAsia="es-CO"/>
              </w:rPr>
              <w:t>12</w:t>
            </w:r>
            <w:r>
              <w:rPr>
                <w:rFonts w:ascii="Helvetica" w:eastAsia="Times New Roman" w:hAnsi="Helvetica" w:cs="Helvetica"/>
                <w:color w:val="222222"/>
                <w:sz w:val="24"/>
                <w:szCs w:val="24"/>
                <w:lang w:eastAsia="es-CO"/>
              </w:rPr>
              <w:fldChar w:fldCharType="end"/>
            </w:r>
            <w:r w:rsidR="00B02898">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Colombia tiene</w:t>
            </w:r>
            <w:r w:rsidR="00B02898">
              <w:rPr>
                <w:rFonts w:ascii="Helvetica" w:eastAsia="Times New Roman" w:hAnsi="Helvetica" w:cs="Helvetica"/>
                <w:color w:val="222222"/>
                <w:sz w:val="24"/>
                <w:szCs w:val="24"/>
                <w:lang w:eastAsia="es-CO"/>
              </w:rPr>
              <w:t xml:space="preserve"> 28.000 plantas y líquenes; </w:t>
            </w:r>
            <w:r>
              <w:rPr>
                <w:rFonts w:ascii="Helvetica" w:eastAsia="Times New Roman" w:hAnsi="Helvetica" w:cs="Helvetica"/>
                <w:color w:val="222222"/>
                <w:sz w:val="24"/>
                <w:szCs w:val="24"/>
                <w:lang w:eastAsia="es-CO"/>
              </w:rPr>
              <w:t>siendo</w:t>
            </w:r>
            <w:r w:rsidRPr="00011C37">
              <w:rPr>
                <w:rFonts w:ascii="Helvetica" w:eastAsia="Times New Roman" w:hAnsi="Helvetica" w:cs="Helvetica"/>
                <w:color w:val="222222"/>
                <w:sz w:val="24"/>
                <w:szCs w:val="24"/>
                <w:lang w:eastAsia="es-CO"/>
              </w:rPr>
              <w:t xml:space="preserve"> un patrimonio invaluable que puede brindar</w:t>
            </w:r>
            <w:r>
              <w:rPr>
                <w:rFonts w:ascii="Helvetica" w:eastAsia="Times New Roman" w:hAnsi="Helvetica" w:cs="Helvetica"/>
                <w:color w:val="222222"/>
                <w:sz w:val="24"/>
                <w:szCs w:val="24"/>
                <w:lang w:eastAsia="es-CO"/>
              </w:rPr>
              <w:t>le</w:t>
            </w:r>
            <w:r w:rsidRPr="00011C37">
              <w:rPr>
                <w:rFonts w:ascii="Helvetica" w:eastAsia="Times New Roman" w:hAnsi="Helvetica" w:cs="Helvetica"/>
                <w:color w:val="222222"/>
                <w:sz w:val="24"/>
                <w:szCs w:val="24"/>
                <w:lang w:eastAsia="es-CO"/>
              </w:rPr>
              <w:t xml:space="preserve"> ventajas competitivas en el descubrimiento y desarrollo de ingredientes activos para la industria farmacéutica y cosmética mediante el uso sostenible de </w:t>
            </w:r>
            <w:r>
              <w:rPr>
                <w:rFonts w:ascii="Helvetica" w:eastAsia="Times New Roman" w:hAnsi="Helvetica" w:cs="Helvetica"/>
                <w:color w:val="222222"/>
                <w:sz w:val="24"/>
                <w:szCs w:val="24"/>
                <w:lang w:eastAsia="es-CO"/>
              </w:rPr>
              <w:t>su</w:t>
            </w:r>
            <w:r w:rsidR="00B02898">
              <w:rPr>
                <w:rFonts w:ascii="Helvetica" w:eastAsia="Times New Roman" w:hAnsi="Helvetica" w:cs="Helvetica"/>
                <w:color w:val="222222"/>
                <w:sz w:val="24"/>
                <w:szCs w:val="24"/>
                <w:lang w:eastAsia="es-CO"/>
              </w:rPr>
              <w:t xml:space="preserve"> biodiversidad. </w:t>
            </w:r>
            <w:r w:rsidRPr="00011C37">
              <w:rPr>
                <w:rFonts w:ascii="Helvetica" w:eastAsia="Times New Roman" w:hAnsi="Helvetica" w:cs="Helvetica"/>
                <w:color w:val="222222"/>
                <w:sz w:val="24"/>
                <w:szCs w:val="24"/>
                <w:lang w:eastAsia="es-CO"/>
              </w:rPr>
              <w:t>Sin embargo, a pesar de nuestra riqueza incalculable, aún estamos sujetos a la importación de ingredientes naturales para el desarroll</w:t>
            </w:r>
            <w:r>
              <w:rPr>
                <w:rFonts w:ascii="Helvetica" w:eastAsia="Times New Roman" w:hAnsi="Helvetica" w:cs="Helvetica"/>
                <w:color w:val="222222"/>
                <w:sz w:val="24"/>
                <w:szCs w:val="24"/>
                <w:lang w:eastAsia="es-CO"/>
              </w:rPr>
              <w:t>o de productos,</w:t>
            </w:r>
            <w:r w:rsidRPr="00011C37">
              <w:rPr>
                <w:rFonts w:ascii="Helvetica" w:eastAsia="Times New Roman" w:hAnsi="Helvetica" w:cs="Helvetica"/>
                <w:color w:val="222222"/>
                <w:sz w:val="24"/>
                <w:szCs w:val="24"/>
                <w:lang w:eastAsia="es-CO"/>
              </w:rPr>
              <w:t xml:space="preserve"> medicamentos cosméticos y fitoterapéuticos</w:t>
            </w:r>
            <w:r>
              <w:rPr>
                <w:rFonts w:ascii="Helvetica" w:eastAsia="Times New Roman" w:hAnsi="Helvetica" w:cs="Helvetica"/>
                <w:color w:val="222222"/>
                <w:sz w:val="24"/>
                <w:szCs w:val="24"/>
                <w:lang w:eastAsia="es-CO"/>
              </w:rPr>
              <w:fldChar w:fldCharType="begin" w:fldLock="1"/>
            </w:r>
            <w:r>
              <w:rPr>
                <w:rFonts w:ascii="Helvetica" w:eastAsia="Times New Roman" w:hAnsi="Helvetica" w:cs="Helvetica"/>
                <w:color w:val="222222"/>
                <w:sz w:val="24"/>
                <w:szCs w:val="24"/>
                <w:lang w:eastAsia="es-CO"/>
              </w:rPr>
              <w:instrText>ADDIN CSL_CITATION {"citationItems":[{"id":"ITEM-1","itemData":{"author":[{"dropping-particle":"","family":"Gyllenhaal","given":"Charlotte","non-dropping-particle":"","parse-names":false,"suffix":""},{"dropping-particle":"Lou","family":"Quinn","given":"Mary","non-dropping-particle":"","parse-names":false,"suffix":""},{"dropping-particle":"","family":"Soejarto","given":"Ojaja Ooel","non-dropping-particle":"","parse-names":false,"suffix":""}],"container-title":"Caldasia","id":"ITEM-1","issue":"71-75","issued":{"date-parts":[["1983"]]},"page":"199-217","title":"Research on Colombian Medicinal Plants: Roles and Resources for Plant Taxonomists","type":"article-journal","volume":"15"},"uris":["http://www.mendeley.com/documents/?uuid=19fd7aa1-8f80-4b1c-b9d6-5e2cde1c994e","http://www.mendeley.com/documents/?uuid=8b7e1182-34fd-4079-8367-1ebaf270c80b"]}],"mendeley":{"formattedCitation":"&lt;sup&gt;13&lt;/sup&gt;","plainTextFormattedCitation":"13","previouslyFormattedCitation":"&lt;sup&gt;13&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Pr="000820A9">
              <w:rPr>
                <w:rFonts w:ascii="Helvetica" w:eastAsia="Times New Roman" w:hAnsi="Helvetica" w:cs="Helvetica"/>
                <w:noProof/>
                <w:color w:val="222222"/>
                <w:sz w:val="24"/>
                <w:szCs w:val="24"/>
                <w:vertAlign w:val="superscript"/>
                <w:lang w:eastAsia="es-CO"/>
              </w:rPr>
              <w:t>13</w:t>
            </w:r>
            <w:r>
              <w:rPr>
                <w:rFonts w:ascii="Helvetica" w:eastAsia="Times New Roman" w:hAnsi="Helvetica" w:cs="Helvetica"/>
                <w:color w:val="222222"/>
                <w:sz w:val="24"/>
                <w:szCs w:val="24"/>
                <w:lang w:eastAsia="es-CO"/>
              </w:rPr>
              <w:fldChar w:fldCharType="end"/>
            </w:r>
            <w:r w:rsidR="00B02898">
              <w:rPr>
                <w:rFonts w:ascii="Helvetica" w:eastAsia="Times New Roman" w:hAnsi="Helvetica" w:cs="Helvetica"/>
                <w:color w:val="222222"/>
                <w:sz w:val="24"/>
                <w:szCs w:val="24"/>
                <w:lang w:eastAsia="es-CO"/>
              </w:rPr>
              <w:t>.</w:t>
            </w:r>
          </w:p>
          <w:p w14:paraId="346D7F39" w14:textId="77777777" w:rsidR="002F299A" w:rsidRDefault="002F299A" w:rsidP="002F299A">
            <w:pPr>
              <w:spacing w:after="0" w:line="240" w:lineRule="auto"/>
              <w:jc w:val="both"/>
              <w:rPr>
                <w:rFonts w:ascii="Helvetica" w:eastAsia="Times New Roman" w:hAnsi="Helvetica" w:cs="Helvetica"/>
                <w:color w:val="222222"/>
                <w:sz w:val="24"/>
                <w:szCs w:val="24"/>
                <w:lang w:eastAsia="es-CO"/>
              </w:rPr>
            </w:pPr>
          </w:p>
          <w:p w14:paraId="67B67C14" w14:textId="18743A60" w:rsidR="002F299A" w:rsidRDefault="002F299A" w:rsidP="002F299A">
            <w:pPr>
              <w:spacing w:after="0" w:line="240" w:lineRule="auto"/>
              <w:jc w:val="both"/>
              <w:rPr>
                <w:rFonts w:ascii="Helvetica" w:eastAsia="Times New Roman" w:hAnsi="Helvetica" w:cs="Helvetica"/>
                <w:color w:val="222222"/>
                <w:sz w:val="24"/>
                <w:szCs w:val="24"/>
                <w:lang w:eastAsia="es-CO"/>
              </w:rPr>
            </w:pPr>
            <w:r w:rsidRPr="00A60179">
              <w:rPr>
                <w:rFonts w:ascii="Helvetica" w:eastAsia="Times New Roman" w:hAnsi="Helvetica" w:cs="Helvetica"/>
                <w:color w:val="222222"/>
                <w:sz w:val="24"/>
                <w:szCs w:val="24"/>
                <w:lang w:eastAsia="es-CO"/>
              </w:rPr>
              <w:t>Los extractos de plantas crudas se han utilizado en medicina popular para el tratamiento de abscesos, picaduras de insectos, micosis, inflamaciones, helmintos intestinales, diarrea</w:t>
            </w:r>
            <w:r>
              <w:rPr>
                <w:rFonts w:ascii="Helvetica" w:eastAsia="Times New Roman" w:hAnsi="Helvetica" w:cs="Helvetica"/>
                <w:color w:val="222222"/>
                <w:sz w:val="24"/>
                <w:szCs w:val="24"/>
                <w:lang w:eastAsia="es-CO"/>
              </w:rPr>
              <w:t>,</w:t>
            </w:r>
            <w:r w:rsidRPr="00A60179">
              <w:rPr>
                <w:rFonts w:ascii="Helvetica" w:eastAsia="Times New Roman" w:hAnsi="Helvetica" w:cs="Helvetica"/>
                <w:color w:val="222222"/>
                <w:sz w:val="24"/>
                <w:szCs w:val="24"/>
                <w:lang w:eastAsia="es-CO"/>
              </w:rPr>
              <w:t xml:space="preserve"> entre otras enfermedades</w:t>
            </w:r>
            <w:r w:rsidR="00623645">
              <w:rPr>
                <w:rFonts w:ascii="Helvetica" w:eastAsia="Times New Roman" w:hAnsi="Helvetica" w:cs="Helvetica"/>
                <w:color w:val="222222"/>
                <w:sz w:val="24"/>
                <w:szCs w:val="24"/>
                <w:lang w:eastAsia="es-CO"/>
              </w:rPr>
              <w:fldChar w:fldCharType="begin" w:fldLock="1"/>
            </w:r>
            <w:r w:rsidR="00B02898">
              <w:rPr>
                <w:rFonts w:ascii="Helvetica" w:eastAsia="Times New Roman" w:hAnsi="Helvetica" w:cs="Helvetica"/>
                <w:color w:val="222222"/>
                <w:sz w:val="24"/>
                <w:szCs w:val="24"/>
                <w:lang w:eastAsia="es-CO"/>
              </w:rPr>
              <w:instrText>ADDIN CSL_CITATION {"citationItems":[{"id":"ITEM-1","itemData":{"author":[{"dropping-particle":"","family":"Holetz","given":"Fabíola Barbiéri","non-dropping-particle":"","parse-names":false,"suffix":""},{"dropping-particle":"","family":"Pessini","given":"Greisiele Lorena","non-dropping-particle":"","parse-names":false,"suffix":""},{"dropping-particle":"","family":"Sanches","given":"Neviton Rogério","non-dropping-particle":"","parse-names":false,"suffix":""},{"dropping-particle":"","family":"Cortez","given":"Aparício Garcia","non-dropping-particle":"","parse-names":false,"suffix":""},{"dropping-particle":"","family":"Nakamura","given":"Celso Vataru","non-dropping-particle":"","parse-names":false,"suffix":""},{"dropping-particle":"","family":"Prado","given":"Benedito","non-dropping-particle":"","parse-names":false,"suffix":""},{"dropping-particle":"","family":"Filho","given":"Dias","non-dropping-particle":"","parse-names":false,"suffix":""}],"id":"ITEM-1","issue":"October","issued":{"date-parts":[["2002"]]},"page":"1027-1031","title":"Screening Pl Medicinais 2.Pdf","type":"article-journal","volume":"97"},"uris":["http://www.mendeley.com/documents/?uuid=680f601a-55c0-4d7b-92ac-c1b0f07e617e"]}],"mendeley":{"formattedCitation":"&lt;sup&gt;14&lt;/sup&gt;","plainTextFormattedCitation":"14","previouslyFormattedCitation":"&lt;sup&gt;14&lt;/sup&gt;"},"properties":{"noteIndex":0},"schema":"https://github.com/citation-style-language/schema/raw/master/csl-citation.json"}</w:instrText>
            </w:r>
            <w:r w:rsidR="00623645">
              <w:rPr>
                <w:rFonts w:ascii="Helvetica" w:eastAsia="Times New Roman" w:hAnsi="Helvetica" w:cs="Helvetica"/>
                <w:color w:val="222222"/>
                <w:sz w:val="24"/>
                <w:szCs w:val="24"/>
                <w:lang w:eastAsia="es-CO"/>
              </w:rPr>
              <w:fldChar w:fldCharType="separate"/>
            </w:r>
            <w:r w:rsidR="00623645" w:rsidRPr="00623645">
              <w:rPr>
                <w:rFonts w:ascii="Helvetica" w:eastAsia="Times New Roman" w:hAnsi="Helvetica" w:cs="Helvetica"/>
                <w:noProof/>
                <w:color w:val="222222"/>
                <w:sz w:val="24"/>
                <w:szCs w:val="24"/>
                <w:vertAlign w:val="superscript"/>
                <w:lang w:eastAsia="es-CO"/>
              </w:rPr>
              <w:t>14</w:t>
            </w:r>
            <w:r w:rsidR="00623645">
              <w:rPr>
                <w:rFonts w:ascii="Helvetica" w:eastAsia="Times New Roman" w:hAnsi="Helvetica" w:cs="Helvetica"/>
                <w:color w:val="222222"/>
                <w:sz w:val="24"/>
                <w:szCs w:val="24"/>
                <w:lang w:eastAsia="es-CO"/>
              </w:rPr>
              <w:fldChar w:fldCharType="end"/>
            </w:r>
            <w:r w:rsidR="00623645">
              <w:rPr>
                <w:rFonts w:ascii="Helvetica" w:eastAsia="Times New Roman" w:hAnsi="Helvetica" w:cs="Helvetica"/>
                <w:color w:val="222222"/>
                <w:sz w:val="24"/>
                <w:szCs w:val="24"/>
                <w:lang w:eastAsia="es-CO"/>
              </w:rPr>
              <w:t xml:space="preserve">. </w:t>
            </w:r>
            <w:r w:rsidRPr="00A60179">
              <w:rPr>
                <w:rFonts w:ascii="Helvetica" w:eastAsia="Times New Roman" w:hAnsi="Helvetica" w:cs="Helvetica"/>
                <w:color w:val="222222"/>
                <w:sz w:val="24"/>
                <w:szCs w:val="24"/>
                <w:lang w:eastAsia="es-CO"/>
              </w:rPr>
              <w:t>Este potencial medicinal ha llevado a la industria farmacéutica a buscar agentes más efectivos, con el objeto de descubrir componentes activos potencialmente</w:t>
            </w:r>
            <w:r>
              <w:rPr>
                <w:rFonts w:ascii="Helvetica" w:eastAsia="Times New Roman" w:hAnsi="Helvetica" w:cs="Helvetica"/>
                <w:color w:val="222222"/>
                <w:sz w:val="24"/>
                <w:szCs w:val="24"/>
                <w:lang w:eastAsia="es-CO"/>
              </w:rPr>
              <w:t xml:space="preserve"> más</w:t>
            </w:r>
            <w:r w:rsidRPr="00A60179">
              <w:rPr>
                <w:rFonts w:ascii="Helvetica" w:eastAsia="Times New Roman" w:hAnsi="Helvetica" w:cs="Helvetica"/>
                <w:color w:val="222222"/>
                <w:sz w:val="24"/>
                <w:szCs w:val="24"/>
                <w:lang w:eastAsia="es-CO"/>
              </w:rPr>
              <w:t xml:space="preserve"> útiles que pued</w:t>
            </w:r>
            <w:r>
              <w:rPr>
                <w:rFonts w:ascii="Helvetica" w:eastAsia="Times New Roman" w:hAnsi="Helvetica" w:cs="Helvetica"/>
                <w:color w:val="222222"/>
                <w:sz w:val="24"/>
                <w:szCs w:val="24"/>
                <w:lang w:eastAsia="es-CO"/>
              </w:rPr>
              <w:t>a</w:t>
            </w:r>
            <w:r w:rsidRPr="00A60179">
              <w:rPr>
                <w:rFonts w:ascii="Helvetica" w:eastAsia="Times New Roman" w:hAnsi="Helvetica" w:cs="Helvetica"/>
                <w:color w:val="222222"/>
                <w:sz w:val="24"/>
                <w:szCs w:val="24"/>
                <w:lang w:eastAsia="es-CO"/>
              </w:rPr>
              <w:t>n servir como nuevas moléculas o plantillas medicinales para la síntesis de nuevas entidades farmacológicas</w:t>
            </w:r>
            <w:r w:rsidR="00B02898">
              <w:rPr>
                <w:rFonts w:ascii="Helvetica" w:eastAsia="Times New Roman" w:hAnsi="Helvetica" w:cs="Helvetica"/>
                <w:color w:val="222222"/>
                <w:sz w:val="24"/>
                <w:szCs w:val="24"/>
                <w:lang w:eastAsia="es-CO"/>
              </w:rPr>
              <w:fldChar w:fldCharType="begin" w:fldLock="1"/>
            </w:r>
            <w:r w:rsidR="00B02898">
              <w:rPr>
                <w:rFonts w:ascii="Helvetica" w:eastAsia="Times New Roman" w:hAnsi="Helvetica" w:cs="Helvetica"/>
                <w:color w:val="222222"/>
                <w:sz w:val="24"/>
                <w:szCs w:val="24"/>
                <w:lang w:eastAsia="es-CO"/>
              </w:rPr>
              <w:instrText>ADDIN CSL_CITATION {"citationItems":[{"id":"ITEM-1","itemData":{"DOI":"10.1016/S0254-6299(15)30344-6","ISSN":"02546299","abstract":"Extracts from 26 plant species representing 16 families, collected in the Free State Province of South Africa, were tested in vitro for their potential to inhibit the growth of eight plant pathogenic fungi and five plant pathogenic bacteria. None of the crude extracts showed any mycelial growth inhibition of the eight test fungi. All of the extracts inhibited the growth of one or more of the five plant pathogenic test bacteria, but to varying degrees. Crude extracts from Acacia karroo and Elephantorrhiza elephantina inhibited the growth of four bacteria, while that of Euclea crispa, Acacia erioloba, Senna italica and Buddleja saligna inhibited the growth of all five plant pathogenic bacteria. Of these, the crude extract of Euclea crispa was clearly superior to the rest as it compared more favourably to that of a commercial bactericide, Dimethyl Dodecyl Ammonium Chloride (DDAC). Subsequently, the Euclea crispa crude extract was fractionated by means of liquid-liquid extraction using four organic solvents, hexane, diethyl ether, chloroform and ethyl acetate, in order of increasing polarity. This was done in an attempt to assess the antimicrobial potential of the more concentrated fractions. Once again, none of the semi-purified fractions showed any antifungal activity. However, antibacterial activity was located in the more polar ethyl acetate fraction indicating that the substances involved were very similar in polarity and/or structure. From this it seems justified to further purify the ethyl acetate fraction of the Euclea crispa extract and attempt to identify the active substance(s) involved.","author":[{"dropping-particle":"","family":"Pretorius","given":"J. C.","non-dropping-particle":"","parse-names":false,"suffix":""},{"dropping-particle":"","family":"Magama","given":"S.","non-dropping-particle":"","parse-names":false,"suffix":""},{"dropping-particle":"","family":"Zietsman","given":"P. C.","non-dropping-particle":"","parse-names":false,"suffix":""}],"container-title":"South African Journal of Botany","id":"ITEM-1","issue":"2","issued":{"date-parts":[["2003"]]},"page":"186-192","title":"Growth inhibition of plant pathogenic bacteria and fungi by extracts from selected South African plant species","type":"article-journal","volume":"69"},"uris":["http://www.mendeley.com/documents/?uuid=70e3d4e0-1ad5-4cff-bbef-bc22238079cb"]}],"mendeley":{"formattedCitation":"&lt;sup&gt;15&lt;/sup&gt;","plainTextFormattedCitation":"15","previouslyFormattedCitation":"&lt;sup&gt;15&lt;/sup&gt;"},"properties":{"noteIndex":0},"schema":"https://github.com/citation-style-language/schema/raw/master/csl-citation.json"}</w:instrText>
            </w:r>
            <w:r w:rsidR="00B02898">
              <w:rPr>
                <w:rFonts w:ascii="Helvetica" w:eastAsia="Times New Roman" w:hAnsi="Helvetica" w:cs="Helvetica"/>
                <w:color w:val="222222"/>
                <w:sz w:val="24"/>
                <w:szCs w:val="24"/>
                <w:lang w:eastAsia="es-CO"/>
              </w:rPr>
              <w:fldChar w:fldCharType="separate"/>
            </w:r>
            <w:r w:rsidR="00B02898" w:rsidRPr="00B02898">
              <w:rPr>
                <w:rFonts w:ascii="Helvetica" w:eastAsia="Times New Roman" w:hAnsi="Helvetica" w:cs="Helvetica"/>
                <w:noProof/>
                <w:color w:val="222222"/>
                <w:sz w:val="24"/>
                <w:szCs w:val="24"/>
                <w:vertAlign w:val="superscript"/>
                <w:lang w:eastAsia="es-CO"/>
              </w:rPr>
              <w:t>15</w:t>
            </w:r>
            <w:r w:rsidR="00B02898">
              <w:rPr>
                <w:rFonts w:ascii="Helvetica" w:eastAsia="Times New Roman" w:hAnsi="Helvetica" w:cs="Helvetica"/>
                <w:color w:val="222222"/>
                <w:sz w:val="24"/>
                <w:szCs w:val="24"/>
                <w:lang w:eastAsia="es-CO"/>
              </w:rPr>
              <w:fldChar w:fldCharType="end"/>
            </w:r>
            <w:r w:rsidR="00B02898" w:rsidRPr="00B02898">
              <w:rPr>
                <w:rFonts w:ascii="Helvetica" w:eastAsia="Times New Roman" w:hAnsi="Helvetica" w:cs="Helvetica"/>
                <w:color w:val="222222"/>
                <w:sz w:val="24"/>
                <w:szCs w:val="24"/>
                <w:vertAlign w:val="superscript"/>
                <w:lang w:eastAsia="es-CO"/>
              </w:rPr>
              <w:t>,</w:t>
            </w:r>
            <w:r w:rsidR="00B02898">
              <w:rPr>
                <w:rFonts w:ascii="Helvetica" w:eastAsia="Times New Roman" w:hAnsi="Helvetica" w:cs="Helvetica"/>
                <w:color w:val="222222"/>
                <w:sz w:val="24"/>
                <w:szCs w:val="24"/>
                <w:vertAlign w:val="superscript"/>
                <w:lang w:eastAsia="es-CO"/>
              </w:rPr>
              <w:fldChar w:fldCharType="begin" w:fldLock="1"/>
            </w:r>
            <w:r w:rsidR="00B02898">
              <w:rPr>
                <w:rFonts w:ascii="Helvetica" w:eastAsia="Times New Roman" w:hAnsi="Helvetica" w:cs="Helvetica"/>
                <w:color w:val="222222"/>
                <w:sz w:val="24"/>
                <w:szCs w:val="24"/>
                <w:vertAlign w:val="superscript"/>
                <w:lang w:eastAsia="es-CO"/>
              </w:rPr>
              <w:instrText>ADDIN CSL_CITATION {"citationItems":[{"id":"ITEM-1","itemData":{"DOI":"10.1021/np068054v","ISSN":"01633864","abstract":"This review is an updated and expanded version of two prior reviews that were published in this journal in 1997 and 2003. In the case of all approved agents the time frame has been extended to include the 251/2 years from 01/1981 to 06/2006 for all diseases worldwide and from 1950 (earliest so far identified) to 06/2006 for all approved antitumor drugs worldwide. We have continued to utilize our secondary subdivision of a \"natural product mimic\" or \"NM\" to join the original primary divisions. From the data presented, the utility of natural products as sources of novel structures, but not necessarily the final drug entity, is still alive and well. Thus, in the area of cancer, over the time frame from around the 1940s to date, of the 155 small molecules, 73% are other than \"S\" (synthetic), with 47% actually being either natural products or directly derived therefrom. In other areas, the influence of natural product structures is quite marked, with, as expected from prior information, the antiinfective area being dependent on natural products and their structures. Although combinatorial chemistry techniques have succeeded as methods of optimizing structures and have, in fact, been used in the optimization of many recently approved agents, we are able to identify only one de novo combinatorial compound approved as a drug in this 25 plus year time frame. We wish to draw the attention of readers to the rapidly evolving recognition that a significant number of natural product drugs/leads are actually produced by microbes and/or microbial interactions with the \"host from whence it was isolated\", and therefore we consider that this area of natural product research should be expanded significantly.","author":[{"dropping-particle":"","family":"Newman","given":"David J.","non-dropping-particle":"","parse-names":false,"suffix":""},{"dropping-particle":"","family":"Cragg","given":"Gordon M.","non-dropping-particle":"","parse-names":false,"suffix":""}],"container-title":"Journal of Natural Products","id":"ITEM-1","issue":"3","issued":{"date-parts":[["2007"]]},"page":"461-477","title":"Natural products as sources of new drugs over the last 25 years","type":"article-journal","volume":"70"},"uris":["http://www.mendeley.com/documents/?uuid=83d919ff-1e6d-4711-adb2-114f001f471d"]}],"mendeley":{"formattedCitation":"&lt;sup&gt;16&lt;/sup&gt;","plainTextFormattedCitation":"16"},"properties":{"noteIndex":0},"schema":"https://github.com/citation-style-language/schema/raw/master/csl-citation.json"}</w:instrText>
            </w:r>
            <w:r w:rsidR="00B02898">
              <w:rPr>
                <w:rFonts w:ascii="Helvetica" w:eastAsia="Times New Roman" w:hAnsi="Helvetica" w:cs="Helvetica"/>
                <w:color w:val="222222"/>
                <w:sz w:val="24"/>
                <w:szCs w:val="24"/>
                <w:vertAlign w:val="superscript"/>
                <w:lang w:eastAsia="es-CO"/>
              </w:rPr>
              <w:fldChar w:fldCharType="separate"/>
            </w:r>
            <w:r w:rsidR="00B02898" w:rsidRPr="00B02898">
              <w:rPr>
                <w:rFonts w:ascii="Helvetica" w:eastAsia="Times New Roman" w:hAnsi="Helvetica" w:cs="Helvetica"/>
                <w:noProof/>
                <w:color w:val="222222"/>
                <w:sz w:val="24"/>
                <w:szCs w:val="24"/>
                <w:vertAlign w:val="superscript"/>
                <w:lang w:eastAsia="es-CO"/>
              </w:rPr>
              <w:t>16</w:t>
            </w:r>
            <w:r w:rsidR="00B02898">
              <w:rPr>
                <w:rFonts w:ascii="Helvetica" w:eastAsia="Times New Roman" w:hAnsi="Helvetica" w:cs="Helvetica"/>
                <w:color w:val="222222"/>
                <w:sz w:val="24"/>
                <w:szCs w:val="24"/>
                <w:vertAlign w:val="superscript"/>
                <w:lang w:eastAsia="es-CO"/>
              </w:rPr>
              <w:fldChar w:fldCharType="end"/>
            </w:r>
            <w:r w:rsidRPr="00A60179">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w:t>
            </w:r>
          </w:p>
          <w:p w14:paraId="5EC30B51" w14:textId="77777777" w:rsidR="002F299A" w:rsidRDefault="002F299A" w:rsidP="002F299A">
            <w:pPr>
              <w:spacing w:after="0" w:line="240" w:lineRule="auto"/>
              <w:jc w:val="both"/>
              <w:rPr>
                <w:rFonts w:ascii="Helvetica" w:eastAsia="Times New Roman" w:hAnsi="Helvetica" w:cs="Helvetica"/>
                <w:color w:val="222222"/>
                <w:sz w:val="24"/>
                <w:szCs w:val="24"/>
                <w:lang w:eastAsia="es-CO"/>
              </w:rPr>
            </w:pPr>
          </w:p>
          <w:p w14:paraId="7B960C85" w14:textId="77777777" w:rsidR="002F299A" w:rsidRDefault="002F299A" w:rsidP="002F299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Por lo anterior, es una oportunidad innegable la generación de proyectos de investigación, que puedan convertirse en alternativas de negocio, a partir del estudio para el aprovechamiento de la biodiversidad existente en Colombia. Sin embargo, no solo se requiere hacer análisis de la riqueza en elementos activos de diferentes especies nativas, sino a sí mismo, estudiar la viabilidad del proceso productivo que permita hacer del proyecto sustentable y productivo en el tiempo. Mediante la ejecución de este proyecto de investigación se busca evaluar la posibilidad de extraer principios activos de dos plantas con un alto potencial en el campo farmacéutico y alimenticio, aplicando una tecnología que se viene trabajando e implementando en la Universidad Santo Tomás como es el de hidrocavitación.</w:t>
            </w:r>
          </w:p>
          <w:p w14:paraId="7CF2A2F3" w14:textId="77777777" w:rsidR="002F299A" w:rsidRDefault="002F299A" w:rsidP="00891C49">
            <w:pPr>
              <w:jc w:val="both"/>
              <w:rPr>
                <w:rFonts w:ascii="Arial" w:hAnsi="Arial" w:cs="Arial"/>
                <w:sz w:val="24"/>
              </w:rPr>
            </w:pPr>
          </w:p>
          <w:p w14:paraId="0BF06540" w14:textId="5C42D3A6" w:rsidR="00823ABD" w:rsidRDefault="000C1600" w:rsidP="00891C49">
            <w:pPr>
              <w:jc w:val="both"/>
              <w:rPr>
                <w:rFonts w:ascii="Helvetica" w:eastAsia="Times New Roman" w:hAnsi="Helvetica" w:cs="Helvetica"/>
                <w:color w:val="222222"/>
                <w:sz w:val="24"/>
                <w:szCs w:val="24"/>
                <w:lang w:eastAsia="es-CO"/>
              </w:rPr>
            </w:pPr>
            <w:r>
              <w:rPr>
                <w:rFonts w:ascii="Arial" w:hAnsi="Arial" w:cs="Arial"/>
                <w:sz w:val="24"/>
              </w:rPr>
              <w:t>El agraz no tiene un mercado grande en Colombia como si lo tiene el mercado Europeo, por lo que se perfila como un producto importante de exportación</w:t>
            </w:r>
            <w:r w:rsidR="008D1BF9">
              <w:rPr>
                <w:rFonts w:ascii="Arial" w:hAnsi="Arial" w:cs="Arial"/>
                <w:sz w:val="24"/>
              </w:rPr>
              <w:fldChar w:fldCharType="begin" w:fldLock="1"/>
            </w:r>
            <w:r w:rsidR="00B02898">
              <w:rPr>
                <w:rFonts w:ascii="Arial" w:hAnsi="Arial" w:cs="Arial"/>
                <w:sz w:val="24"/>
              </w:rPr>
              <w:instrText>ADDIN CSL_CITATION {"citationItems":[{"id":"ITEM-1","itemData":{"author":[{"dropping-particle":"","family":"Universidad Nacional de","given":"","non-dropping-particle":"","parse-names":false,"suffix":""}],"container-title":"Agencia de Noticias UN","id":"ITEM-1","issued":{"date-parts":[["2017","8"]]},"page":"1","publisher-place":"Medellín","title":"Agraz en polvo","type":"article-magazine"},"uris":["http://www.mendeley.com/documents/?uuid=e1d46f04-fd5c-4378-bb06-26eaf8d75be1","http://www.mendeley.com/documents/?uuid=196f85e8-236c-40cd-8174-0e8dba6fe2e4","http://www.mendeley.com/documents/?uuid=ed2989a1-1d8c-4f1b-a483-acabaa2517fc","http://www.mendeley.com/documents/?uuid=c77fa25e-8730-40fe-ace9-e433a92514f5"]}],"mendeley":{"formattedCitation":"&lt;sup&gt;17&lt;/sup&gt;","plainTextFormattedCitation":"17","previouslyFormattedCitation":"&lt;sup&gt;16&lt;/sup&gt;"},"properties":{"noteIndex":0},"schema":"https://github.com/citation-style-language/schema/raw/master/csl-citation.json"}</w:instrText>
            </w:r>
            <w:r w:rsidR="008D1BF9">
              <w:rPr>
                <w:rFonts w:ascii="Arial" w:hAnsi="Arial" w:cs="Arial"/>
                <w:sz w:val="24"/>
              </w:rPr>
              <w:fldChar w:fldCharType="separate"/>
            </w:r>
            <w:r w:rsidR="00B02898" w:rsidRPr="00B02898">
              <w:rPr>
                <w:rFonts w:ascii="Arial" w:hAnsi="Arial" w:cs="Arial"/>
                <w:noProof/>
                <w:sz w:val="24"/>
                <w:vertAlign w:val="superscript"/>
              </w:rPr>
              <w:t>17</w:t>
            </w:r>
            <w:r w:rsidR="008D1BF9">
              <w:rPr>
                <w:rFonts w:ascii="Arial" w:hAnsi="Arial" w:cs="Arial"/>
                <w:sz w:val="24"/>
              </w:rPr>
              <w:fldChar w:fldCharType="end"/>
            </w:r>
            <w:r w:rsidR="0001270B">
              <w:rPr>
                <w:rFonts w:ascii="Arial" w:hAnsi="Arial" w:cs="Arial"/>
                <w:sz w:val="24"/>
              </w:rPr>
              <w:t>.</w:t>
            </w:r>
            <w:r w:rsidR="001A64BC">
              <w:rPr>
                <w:rFonts w:ascii="Arial" w:hAnsi="Arial" w:cs="Arial"/>
                <w:sz w:val="24"/>
              </w:rPr>
              <w:t xml:space="preserve"> Por otro lado, l</w:t>
            </w:r>
            <w:r w:rsidR="00484919">
              <w:rPr>
                <w:rFonts w:ascii="Arial" w:hAnsi="Arial" w:cs="Arial"/>
                <w:sz w:val="24"/>
              </w:rPr>
              <w:t xml:space="preserve">a ortiga también presenta un mercado importante a nivel internacional. </w:t>
            </w:r>
            <w:r w:rsidR="00484919">
              <w:rPr>
                <w:rFonts w:ascii="Helvetica" w:eastAsia="Times New Roman" w:hAnsi="Helvetica" w:cs="Helvetica"/>
                <w:color w:val="222222"/>
                <w:sz w:val="24"/>
                <w:szCs w:val="24"/>
                <w:lang w:eastAsia="es-CO"/>
              </w:rPr>
              <w:t xml:space="preserve">Luego la posibilidad de generar </w:t>
            </w:r>
            <w:r w:rsidR="00823ABD">
              <w:rPr>
                <w:rFonts w:ascii="Helvetica" w:eastAsia="Times New Roman" w:hAnsi="Helvetica" w:cs="Helvetica"/>
                <w:color w:val="222222"/>
                <w:sz w:val="24"/>
                <w:szCs w:val="24"/>
                <w:lang w:eastAsia="es-CO"/>
              </w:rPr>
              <w:t xml:space="preserve">oportunidades de negocio a partir de la biodiversidad colombiana es </w:t>
            </w:r>
            <w:r w:rsidR="00484919">
              <w:rPr>
                <w:rFonts w:ascii="Helvetica" w:eastAsia="Times New Roman" w:hAnsi="Helvetica" w:cs="Helvetica"/>
                <w:color w:val="222222"/>
                <w:sz w:val="24"/>
                <w:szCs w:val="24"/>
                <w:lang w:eastAsia="es-CO"/>
              </w:rPr>
              <w:t>una realidad en la cual la Universidad puede aportar y aprovechar para generar procesos agroindustriales.</w:t>
            </w:r>
            <w:r w:rsidR="00484919" w:rsidDel="00484919">
              <w:rPr>
                <w:rFonts w:ascii="Helvetica" w:eastAsia="Times New Roman" w:hAnsi="Helvetica" w:cs="Helvetica"/>
                <w:color w:val="222222"/>
                <w:sz w:val="24"/>
                <w:szCs w:val="24"/>
                <w:lang w:eastAsia="es-CO"/>
              </w:rPr>
              <w:t xml:space="preserve"> </w:t>
            </w:r>
          </w:p>
          <w:p w14:paraId="7F246BD1" w14:textId="70B51CC5" w:rsidR="002A18AF" w:rsidRPr="009E52A3" w:rsidRDefault="002F299A" w:rsidP="009E52A3">
            <w:pPr>
              <w:jc w:val="both"/>
              <w:rPr>
                <w:rFonts w:ascii="Arial" w:hAnsi="Arial" w:cs="Arial"/>
                <w:sz w:val="24"/>
              </w:rPr>
            </w:pPr>
            <w:r>
              <w:rPr>
                <w:rFonts w:ascii="Helvetica" w:eastAsia="Times New Roman" w:hAnsi="Helvetica" w:cs="Helvetica"/>
                <w:color w:val="222222"/>
                <w:sz w:val="24"/>
                <w:szCs w:val="24"/>
                <w:lang w:eastAsia="es-CO"/>
              </w:rPr>
              <w:lastRenderedPageBreak/>
              <w:t>Los resultados esperados permitirían obtener publicaciones de alto impacto, ya que según la revisión bibliográfica no se han empleado reactores de hidrocavitación para dicha extracción. Adicionalmente, los resultados obtenidos podrían dar origen a un escalamiento del proceso de laboratorio a escala de planta piloto y posteriormente industrial para la obtención de principios activos usando la tecnología desarrollada en la Universidad Santo Tomás.</w:t>
            </w:r>
          </w:p>
        </w:tc>
      </w:tr>
    </w:tbl>
    <w:p w14:paraId="1A0E2F64"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10043F4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D3CC953"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14:paraId="2E70529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2B96BFB" w14:textId="6F1D9E49" w:rsidR="00E6008D" w:rsidRDefault="001C1E94" w:rsidP="00420E72">
            <w:pPr>
              <w:spacing w:before="120" w:after="12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Evaluar la extracción de principios activos de ortiga y agraz mediante el uso de hidrocavitación</w:t>
            </w:r>
          </w:p>
        </w:tc>
      </w:tr>
    </w:tbl>
    <w:p w14:paraId="261CBBCD"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18CF306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75D7E9D"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14:paraId="5C8B290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68C7F24" w14:textId="221FB7A8" w:rsidR="00B23E3C" w:rsidRDefault="001A64BC" w:rsidP="00420E72">
            <w:pPr>
              <w:pStyle w:val="Prrafodelista"/>
              <w:numPr>
                <w:ilvl w:val="0"/>
                <w:numId w:val="12"/>
              </w:numPr>
              <w:rPr>
                <w:lang w:eastAsia="es-CO"/>
              </w:rPr>
            </w:pPr>
            <w:r w:rsidRPr="00420E72">
              <w:rPr>
                <w:rFonts w:ascii="Helvetica" w:eastAsia="Times New Roman" w:hAnsi="Helvetica" w:cs="Helvetica"/>
                <w:color w:val="222222"/>
                <w:sz w:val="24"/>
                <w:szCs w:val="24"/>
                <w:lang w:eastAsia="es-CO"/>
              </w:rPr>
              <w:t>Establecer el contenido de principios activos en ortiga y agraz a escala laboratorio.</w:t>
            </w:r>
          </w:p>
          <w:p w14:paraId="16F66631" w14:textId="59D02619" w:rsidR="00B23E3C" w:rsidRDefault="001C1E94" w:rsidP="00420E72">
            <w:pPr>
              <w:pStyle w:val="Prrafodelista"/>
              <w:numPr>
                <w:ilvl w:val="0"/>
                <w:numId w:val="12"/>
              </w:numPr>
              <w:rPr>
                <w:lang w:eastAsia="es-CO"/>
              </w:rPr>
            </w:pPr>
            <w:r w:rsidRPr="00420E72">
              <w:rPr>
                <w:rFonts w:ascii="Helvetica" w:eastAsia="Times New Roman" w:hAnsi="Helvetica" w:cs="Helvetica"/>
                <w:color w:val="222222"/>
                <w:sz w:val="24"/>
                <w:szCs w:val="24"/>
                <w:lang w:eastAsia="es-CO"/>
              </w:rPr>
              <w:t>E</w:t>
            </w:r>
            <w:r w:rsidR="001A64BC" w:rsidRPr="00420E72">
              <w:rPr>
                <w:rFonts w:ascii="Helvetica" w:eastAsia="Times New Roman" w:hAnsi="Helvetica" w:cs="Helvetica"/>
                <w:color w:val="222222"/>
                <w:sz w:val="24"/>
                <w:szCs w:val="24"/>
                <w:lang w:eastAsia="es-CO"/>
              </w:rPr>
              <w:t xml:space="preserve">scalar el proceso de extracción de </w:t>
            </w:r>
            <w:r w:rsidRPr="00420E72">
              <w:rPr>
                <w:rFonts w:ascii="Helvetica" w:eastAsia="Times New Roman" w:hAnsi="Helvetica" w:cs="Helvetica"/>
                <w:color w:val="222222"/>
                <w:sz w:val="24"/>
                <w:szCs w:val="24"/>
                <w:lang w:eastAsia="es-CO"/>
              </w:rPr>
              <w:t>principios activos de ortiga y agraz en reactor de hidrocavitación.</w:t>
            </w:r>
          </w:p>
          <w:p w14:paraId="52FA047E" w14:textId="166D36F9" w:rsidR="00E6008D" w:rsidRDefault="001C1E94" w:rsidP="00420E72">
            <w:pPr>
              <w:pStyle w:val="Prrafodelista"/>
              <w:numPr>
                <w:ilvl w:val="0"/>
                <w:numId w:val="12"/>
              </w:numPr>
              <w:rPr>
                <w:lang w:eastAsia="es-CO"/>
              </w:rPr>
            </w:pPr>
            <w:r w:rsidRPr="00420E72">
              <w:rPr>
                <w:rFonts w:ascii="Helvetica" w:eastAsia="Times New Roman" w:hAnsi="Helvetica" w:cs="Helvetica"/>
                <w:color w:val="222222"/>
                <w:sz w:val="24"/>
                <w:szCs w:val="24"/>
                <w:lang w:eastAsia="es-CO"/>
              </w:rPr>
              <w:t>Caracterizar el extracto obtenido</w:t>
            </w:r>
            <w:r w:rsidR="001A64BC" w:rsidRPr="00420E72">
              <w:rPr>
                <w:rFonts w:ascii="Helvetica" w:eastAsia="Times New Roman" w:hAnsi="Helvetica" w:cs="Helvetica"/>
                <w:color w:val="222222"/>
                <w:sz w:val="24"/>
                <w:szCs w:val="24"/>
                <w:lang w:eastAsia="es-CO"/>
              </w:rPr>
              <w:t xml:space="preserve"> a partir del uso de la hidrocavitación</w:t>
            </w:r>
            <w:r w:rsidRPr="00420E72">
              <w:rPr>
                <w:rFonts w:ascii="Helvetica" w:eastAsia="Times New Roman" w:hAnsi="Helvetica" w:cs="Helvetica"/>
                <w:color w:val="222222"/>
                <w:sz w:val="24"/>
                <w:szCs w:val="24"/>
                <w:lang w:eastAsia="es-CO"/>
              </w:rPr>
              <w:t>.</w:t>
            </w:r>
          </w:p>
        </w:tc>
      </w:tr>
    </w:tbl>
    <w:p w14:paraId="61B17716"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451" w:type="dxa"/>
        <w:shd w:val="clear" w:color="auto" w:fill="FFFFFF"/>
        <w:tblLook w:val="04A0" w:firstRow="1" w:lastRow="0" w:firstColumn="1" w:lastColumn="0" w:noHBand="0" w:noVBand="1"/>
      </w:tblPr>
      <w:tblGrid>
        <w:gridCol w:w="14451"/>
      </w:tblGrid>
      <w:tr w:rsidR="002A18AF" w14:paraId="5A433FD2" w14:textId="77777777" w:rsidTr="00742C57">
        <w:tc>
          <w:tcPr>
            <w:tcW w:w="1445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03271C3" w14:textId="77777777"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14:paraId="5A80A11F" w14:textId="77777777" w:rsidTr="00742C57">
        <w:tc>
          <w:tcPr>
            <w:tcW w:w="1445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678A0EA" w14:textId="2E2239C7" w:rsidR="00D910C3" w:rsidRPr="00891C49" w:rsidRDefault="00D910C3" w:rsidP="00047770">
            <w:pPr>
              <w:jc w:val="both"/>
              <w:rPr>
                <w:rFonts w:ascii="Helvetica" w:hAnsi="Helvetica" w:cs="Helvetica"/>
                <w:b/>
                <w:sz w:val="24"/>
                <w:szCs w:val="24"/>
              </w:rPr>
            </w:pPr>
            <w:r w:rsidRPr="00891C49">
              <w:rPr>
                <w:rFonts w:ascii="Helvetica" w:hAnsi="Helvetica" w:cs="Helvetica"/>
                <w:b/>
                <w:sz w:val="24"/>
                <w:szCs w:val="24"/>
              </w:rPr>
              <w:t>Ortiga.</w:t>
            </w:r>
          </w:p>
          <w:p w14:paraId="60F45066" w14:textId="44ACF2A2" w:rsidR="00047770" w:rsidRPr="00891C49" w:rsidRDefault="000B47BE" w:rsidP="00047770">
            <w:pPr>
              <w:jc w:val="both"/>
              <w:rPr>
                <w:rFonts w:ascii="Helvetica" w:hAnsi="Helvetica" w:cs="Helvetica"/>
                <w:sz w:val="24"/>
                <w:szCs w:val="24"/>
              </w:rPr>
            </w:pPr>
            <w:r w:rsidRPr="00891C49">
              <w:rPr>
                <w:rFonts w:ascii="Helvetica" w:hAnsi="Helvetica" w:cs="Helvetica"/>
                <w:sz w:val="24"/>
                <w:szCs w:val="24"/>
              </w:rPr>
              <w:t xml:space="preserve">La ortiga (Urtica dioica) es muy común en la industria farmacéutica ya que contiene una gran variedad de componentes químicas como polifenol, fenol, ácido graso, carotenoides y minerales como el calcio, cobalto, magnesio, fosforo, cobre, potasio y zinc  </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{"citationItems":[{"id":"ITEM-1","itemData":{"DOI":"10.1016/j.jff.2017.02.019","ISSN":"17564646","abstract":"Urtica dioica L. (stinging nettle) is annual plant which possesses wide range of biological effects and being used in folk medicine since the ancient times. Despite the numerous studies concerning the biological activities of this plant, there are only several studies regarding the chemical composition of stinging nettle (SN) leaves. Deeper chemical investigation revealed the presence of different class of compounds (polyphenols, phenolic acids, fatty acids, carotenoids, elements and minerals) in SN leaves. Results showed the chlorophylls and carotenoids contents of 304.63 mg 100 g −1 and 69.07 mg 100 g −1 , respectively. The most abundant fatty acids were C18:3 (67.98 µg g −1 ), C16:0 (60.97 µg g −1 ) and C18:2 (55.99 µg g −1 ), among terpenes linalool was dominant compound (5.1 mg g −1 ), while dominant trace element was iron with the content of 150.97 µg g −1 . Such chemical profile is significant and indicate the wide range of possible further usage of this plant.","author":[{"dropping-particle":"","family":"Đurović","given":"Saša","non-dropping-particle":"","parse-names":false,"suffix":""},{"dropping-particle":"","family":"Pavlić","given":"Branimir","non-dropping-particle":"","parse-names":false,"suffix":""},{"dropping-particle":"","family":"Šorgić","given":"Saša","non-dropping-particle":"","parse-names":false,"suffix":""},{"dropping-particle":"","family":"Popov","given":"Saša","non-dropping-particle":"","parse-names":false,"suffix":""},{"dropping-particle":"","family":"Savić","given":"Saša","non-dropping-particle":"","parse-names":false,"suffix":""},{"dropping-particle":"","family":"Pertonijević","given":"Mirjana","non-dropping-particle":"","parse-names":false,"suffix":""},{"dropping-particle":"","family":"Radojković","given":"Marija","non-dropping-particle":"","parse-names":false,"suffix":""},{"dropping-particle":"","family":"Cvetanović","given":"Aleksandra","non-dropping-particle":"","parse-names":false,"suffix":""},{"dropping-particle":"","family":"Zeković","given":"Zoran","non-dropping-particle":"","parse-names":false,"suffix":""}],"container-title":"Journal of Functional Foods","id":"ITEM-1","issued":{"date-parts":[["2017"]]},"page":"18-26","title":"Chemical composition of stinging nettle leaves obtained by different analytical approaches","type":"article-journal","volume":"32"},"uris":["http://www.mendeley.com/documents/?uuid=b2a237cb-a582-42b0-8ed3-600b36c86968"]}],"mendeley":{"formattedCitation":"&lt;sup&gt;18&lt;/sup&gt;","plainTextFormattedCitation":"18","previouslyFormattedCitation":"&lt;sup&gt;17&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18</w:t>
            </w:r>
            <w:r w:rsidRPr="00891C49">
              <w:rPr>
                <w:rFonts w:ascii="Helvetica" w:hAnsi="Helvetica" w:cs="Helvetica"/>
                <w:sz w:val="24"/>
                <w:szCs w:val="24"/>
                <w:vertAlign w:val="superscript"/>
              </w:rPr>
              <w:fldChar w:fldCharType="end"/>
            </w:r>
            <w:r w:rsidRPr="00891C49">
              <w:rPr>
                <w:rFonts w:ascii="Helvetica" w:hAnsi="Helvetica" w:cs="Helvetica"/>
                <w:sz w:val="24"/>
                <w:szCs w:val="24"/>
                <w:vertAlign w:val="superscript"/>
              </w:rPr>
              <w:t xml:space="preserve">, </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{"citationItems":[{"id":"ITEM-1","itemData":{"DOI":"10.1016/j.apjtb.2015.07.005","ISSN":"22211691","abstract":"OBJECTIVE: To investigate the antioxidant effect of an orally administered ethanol extract of nettle (Urtica dioica) and its protective role in preventing or ameliorating oxidative stress as a major factor in gentamicin-induced nephrotoxicity in male rabbits. METHODS: Twenty rabbits were divided into 4 equal groups: (G1) control group, (G2) gentamicin treated group (100 mg/kg), (G3) nettle treated group (100 mg/kg), (G4) combination treated group with both gentamicin (100 mg/kg) and nettle (100 mg/kg) for 10 days. The antioxidant properties of nettle were evaluated using different antioxidant tests, such as determination of glutathione and malondialdehyde levels and total phenolic content analysis. RESULTS: Biochemical and histopathological study revealed that gentamicin caused nephrotoxicity observed clearly in the histopathological section of the kidney in the gentamicin treated group. Serum creatinine and blood urea nitrogen were biochemical indicators for nephrotoxicity which increased significantly in gentamicin treated group; other groups have no significant change in these two parameters. Nettle extract protected the rabbits from alteration in the level of blood urea nitrogen and serum creatinine when given after inducing of gentamicin nephrotoxicity. The nettle treated group showed a great effect as an antioxidant factor by increasing the glutathione level and reducing malondialdehyde level. No significant changes in biochemical parameters and no renal histopathological changes observed in the groups treated with nettle extract, which meant nettle had powerful antioxidant activity. CONCLUSIONS: Therefore, it can be assumed that the nephroprotective effect shown by nettle in gentamicin-induced nephrotoxicity can reserve intracellular levels of biological pathways and supportively enhance excretion of toxic levels of gentamicin.","author":[{"dropping-particle":"","family":"Salih","given":"Nadia Abdulkarim","non-dropping-particle":"","parse-names":false,"suffix":""}],"container-title":"Asian Pacific Journal of Tropical Biomedicine","id":"ITEM-1","issued":{"date-parts":[["2015"]]},"title":"Effect of nettle (Urtica dioica) extract on gentamicin induced nephrotoxicity in male rabbits","type":"article-journal"},"uris":["http://www.mendeley.com/documents/?uuid=ddf76061-f192-42bd-8af8-f09c5dde3e39"]}],"mendeley":{"formattedCitation":"&lt;sup&gt;19&lt;/sup&gt;","plainTextFormattedCitation":"19","previouslyFormattedCitation":"&lt;sup&gt;18&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19</w:t>
            </w:r>
            <w:r w:rsidRPr="00891C49">
              <w:rPr>
                <w:rFonts w:ascii="Helvetica" w:hAnsi="Helvetica" w:cs="Helvetica"/>
                <w:sz w:val="24"/>
                <w:szCs w:val="24"/>
                <w:vertAlign w:val="superscript"/>
              </w:rPr>
              <w:fldChar w:fldCharType="end"/>
            </w:r>
            <w:r w:rsidRPr="00891C49">
              <w:rPr>
                <w:rFonts w:ascii="Helvetica" w:hAnsi="Helvetica" w:cs="Helvetica"/>
                <w:sz w:val="24"/>
                <w:szCs w:val="24"/>
                <w:vertAlign w:val="superscript"/>
              </w:rPr>
              <w:t>,</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{"citationItems":[{"id":"ITEM-1","itemData":{"DOI":"10.1016/J.CHROMA.2017.07.066","ISSN":"0021-9673","abstract":"The majority of studies based on phenolic compounds from plants are focused on the extractable fraction derived from an aqueous or aqueous-organic extraction. However, an important fraction of polyphenols is ignored due to the fact that they remain retained in the residue of extraction. They are the so-called non-extractable polyphenols (NEPs) which are high molecular weight polymeric polyphenols or individual low molecular weight phenolics associated to macromolecules. The scarce information available about NEPs shows that these compounds possess interesting biological activities. That is why the interest about the study of these compounds has been increasing in the last years. Furthermore, the extraction and characterization of NEPs are considered a challenge because the developed analytical methodologies present some limitations. Thus, the present literature review summarizes current knowledge of NEPs and the different methodologies for the extraction of these compounds, with a particular focus on hydrolysis treatments. Besides, this review provides information on the most recent developments in the purification, separation, identification and quantification of NEPs from plants.","author":[{"dropping-particle":"","family":"Domínguez-Rodríguez","given":"Gloria","non-dropping-particle":"","parse-names":false,"suffix":""},{"dropping-particle":"","family":"Marina","given":"María Luisa","non-dropping-particle":"","parse-names":false,"suffix":""},{"dropping-particle":"","family":"Plaza","given":"Merichel","non-dropping-particle":"","parse-names":false,"suffix":""}],"container-title":"Journal of Chromatography A","id":"ITEM-1","issued":{"date-parts":[["2017","9"]]},"page":"1-15","publisher":"Elsevier","title":"Strategies for the extraction and analysis of non-extractable polyphenols from plants","type":"article-journal","volume":"1514"},"uris":["http://www.mendeley.com/documents/?uuid=1fc47dda-f6e7-4172-a3c5-7a2b5476b1f9"]}],"mendeley":{"formattedCitation":"&lt;sup&gt;20&lt;/sup&gt;","plainTextFormattedCitation":"20","previouslyFormattedCitation":"&lt;sup&gt;19&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20</w:t>
            </w:r>
            <w:r w:rsidRPr="00891C49">
              <w:rPr>
                <w:rFonts w:ascii="Helvetica" w:hAnsi="Helvetica" w:cs="Helvetica"/>
                <w:sz w:val="24"/>
                <w:szCs w:val="24"/>
                <w:vertAlign w:val="superscript"/>
              </w:rPr>
              <w:fldChar w:fldCharType="end"/>
            </w:r>
            <w:r w:rsidRPr="00891C49">
              <w:rPr>
                <w:rFonts w:ascii="Helvetica" w:hAnsi="Helvetica" w:cs="Helvetica"/>
                <w:sz w:val="24"/>
                <w:szCs w:val="24"/>
                <w:vertAlign w:val="superscript"/>
              </w:rPr>
              <w:t xml:space="preserve">. </w:t>
            </w:r>
            <w:r w:rsidRPr="00891C49">
              <w:rPr>
                <w:rFonts w:ascii="Helvetica" w:hAnsi="Helvetica" w:cs="Helvetica"/>
                <w:sz w:val="24"/>
                <w:szCs w:val="24"/>
              </w:rPr>
              <w:t>Debido a su contenido de polifenol</w:t>
            </w:r>
            <w:r w:rsidR="001A64BC" w:rsidRPr="00891C49">
              <w:rPr>
                <w:rFonts w:ascii="Helvetica" w:hAnsi="Helvetica" w:cs="Helvetica"/>
                <w:sz w:val="24"/>
                <w:szCs w:val="24"/>
              </w:rPr>
              <w:t>es</w:t>
            </w:r>
            <w:r w:rsidRPr="00891C49">
              <w:rPr>
                <w:rFonts w:ascii="Helvetica" w:hAnsi="Helvetica" w:cs="Helvetica"/>
                <w:sz w:val="24"/>
                <w:szCs w:val="24"/>
              </w:rPr>
              <w:t xml:space="preserve"> y fenol</w:t>
            </w:r>
            <w:r w:rsidR="001A64BC" w:rsidRPr="00891C49">
              <w:rPr>
                <w:rFonts w:ascii="Helvetica" w:hAnsi="Helvetica" w:cs="Helvetica"/>
                <w:sz w:val="24"/>
                <w:szCs w:val="24"/>
              </w:rPr>
              <w:t>es</w:t>
            </w:r>
            <w:r w:rsidRPr="00891C49">
              <w:rPr>
                <w:rFonts w:ascii="Helvetica" w:hAnsi="Helvetica" w:cs="Helvetica"/>
                <w:sz w:val="24"/>
                <w:szCs w:val="24"/>
              </w:rPr>
              <w:t xml:space="preserve"> es ampliamente utilizada para la producción de antibióticos, analgésicos, antinflamatorios, antimicrobianos y antioxidantes </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{"citationItems":[{"id":"ITEM-1","itemData":{"DOI":"10.1016/j.supflu.2013.10.004","ISSN":"08968446","abstract":"Response surface methodology was employed using a central composite design of experiments to optimize experimental conditions for stinging nettle extract yields under supercritical ethanol conditions. The following independent variables were investigated: extraction temperature, extraction time and plant concentration. The most significant factor was found to be the extraction temperature. A correlation coefficient was estimated to be 0.94, which demonstrates the effectiveness of the model. The values of the parameters in optimized conditions for the stinging nettle extract yield included an extraction temperature of 335 C, an extraction time of 87 min, and a plant concentration of 9. A subsequent validation experiment was carried out at the optimal conditions. The validation experiment showed that the actual and predicted values for the stinging nettle extract yields were 45.3 and 42.7 wt%, respectively. The stinging nettle extracts consisted of a collection of compounds including fatty acid esters (FAE), phenols, indoles, and nitrogen containing compounds. © 2013 Elsevier B.V. All rights reserved.","author":[{"dropping-particle":"","family":"Akalin","given":"Mehmet Kuddusi","non-dropping-particle":"","parse-names":false,"suffix":""},{"dropping-particle":"","family":"Karagöz","given":"Selhan","non-dropping-particle":"","parse-names":false,"suffix":""},{"dropping-particle":"","family":"Akyüz","given":"Mehmet","non-dropping-particle":"","parse-names":false,"suffix":""}],"container-title":"Journal of Supercritical Fluids","id":"ITEM-1","issued":{"date-parts":[["2013"]]},"title":"Application of response surface methodology to extract yields from stinging nettle under supercritical ethanol conditions","type":"article-journal"},"uris":["http://www.mendeley.com/documents/?uuid=bd83964a-7dc6-430b-b473-88cd8c03eec3"]}],"mendeley":{"formattedCitation":"&lt;sup&gt;21&lt;/sup&gt;","plainTextFormattedCitation":"21","previouslyFormattedCitation":"&lt;sup&gt;20&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21</w:t>
            </w:r>
            <w:r w:rsidRPr="00891C49">
              <w:rPr>
                <w:rFonts w:ascii="Helvetica" w:hAnsi="Helvetica" w:cs="Helvetica"/>
                <w:sz w:val="24"/>
                <w:szCs w:val="24"/>
                <w:vertAlign w:val="superscript"/>
              </w:rPr>
              <w:fldChar w:fldCharType="end"/>
            </w:r>
            <w:r w:rsidRPr="00891C49">
              <w:rPr>
                <w:rFonts w:ascii="Helvetica" w:hAnsi="Helvetica" w:cs="Helvetica"/>
                <w:sz w:val="24"/>
                <w:szCs w:val="24"/>
                <w:vertAlign w:val="superscript"/>
              </w:rPr>
              <w:t>,</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{"citationItems":[{"id":"ITEM-1","itemData":{"DOI":"10.1016/j.indcrop.2014.08.012","ISSN":"09266690","abstract":"Stinging nettle (Urtica dioica L.) is a well-known plant species that is considered a weed in intensive agriculture. This crop has gained the interest both scientifically and commercially because it is the source of many added-value natural products by exploiting all the plant parts (stem, leaves, roots and seeds). The main objective of this article is to describe-along with unpublished data-information that is spread in different sources, giving an updated and comprehensive overview of the potential end-products, covering aspects related to the whole plant production chain, and at the same time, providing unpublished data collected under different projects.The effects of nettle cultivation on the environment are potentially favourable, it being a perennial low-requirement crop (it can reach about 3-12Mgha -1 dry stalk yield with low inputs). Stinging nettle has a long history as a textile fibre; its fibre quality has been demonstrated (e.g. cellulose content around 86%) and is highly depending on the extraction method. Furthermore, several studies confirmed the presence of numerous active compounds, especially in nettle leaves (e.g. caffeic acid derivative compounds, ceramides, nine forms of carotenoids, essential fatty acids, vitamins, minerals, phytosterols, glycosides and proteins), with most promising application in the food/feed, medicinal and cosmetic sectors. Although with high market potentials, the products made from nettle are currently more a result of curiosity rather than large-scale industrial production, mostly due to lack in crop and post-harvest management. The definition of a production chain able to exploit the plant biomass as much as possible is a prerequisite to increase income and boost farmers' adoption, and to attract investors.","author":[{"dropping-particle":"","family":"Virgilio","given":"Nicola","non-dropping-particle":"Di","parse-names":false,"suffix":""},{"dropping-particle":"","family":"Papazoglou","given":"Eleni G.","non-dropping-particle":"","parse-names":false,"suffix":""},{"dropping-particle":"","family":"Jankauskiene","given":"Zofija","non-dropping-particle":"","parse-names":false,"suffix":""},{"dropping-particle":"","family":"Lonardo","given":"Sara","non-dropping-particle":"Di","parse-names":false,"suffix":""},{"dropping-particle":"","family":"Praczyk","given":"Marcin","non-dropping-particle":"","parse-names":false,"suffix":""},{"dropping-particle":"","family":"Wielgusz","given":"Kataryna","non-dropping-particle":"","parse-names":false,"suffix":""}],"container-title":"Industrial Crops and Products","id":"ITEM-1","issued":{"date-parts":[["2015"]]},"page":"42-49","publisher":"Elsevier B.V.","title":"The potential of stinging nettle (Urtica dioica L.) as a crop with multiple uses","type":"article-journal","volume":"68"},"uris":["http://www.mendeley.com/documents/?uuid=0a1cf341-6ab7-447c-9763-ae80eecea22a"]}],"mendeley":{"formattedCitation":"&lt;sup&gt;22&lt;/sup&gt;","plainTextFormattedCitation":"22","previouslyFormattedCitation":"&lt;sup&gt;21&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22</w:t>
            </w:r>
            <w:r w:rsidRPr="00891C49">
              <w:rPr>
                <w:rFonts w:ascii="Helvetica" w:hAnsi="Helvetica" w:cs="Helvetica"/>
                <w:sz w:val="24"/>
                <w:szCs w:val="24"/>
                <w:vertAlign w:val="superscript"/>
              </w:rPr>
              <w:fldChar w:fldCharType="end"/>
            </w:r>
            <w:r w:rsidRPr="00891C49">
              <w:rPr>
                <w:rFonts w:ascii="Helvetica" w:hAnsi="Helvetica" w:cs="Helvetica"/>
                <w:sz w:val="24"/>
                <w:szCs w:val="24"/>
                <w:vertAlign w:val="superscript"/>
              </w:rPr>
              <w:t>,</w:t>
            </w:r>
            <w:r w:rsidRPr="00891C49">
              <w:rPr>
                <w:rFonts w:ascii="Helvetica" w:hAnsi="Helvetica" w:cs="Helvetica"/>
                <w:sz w:val="24"/>
                <w:szCs w:val="24"/>
              </w:rPr>
              <w:t xml:space="preserve"> que ayudan a la prevención y mejoramiento de la salud en el ser humano. Adicionalmente, se emplea en tratamientos para pacientes con enfermedades como: deficiencia crónica cardiovascular, cáncer, hiperplasia prostática, infecciones urinarias, ulceras producidas por la diabetes y antiplaquetario </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{"citationItems":[{"id":"ITEM-1","itemData":{"DOI":"10.1016/j.indcrop.2015.06.032","ISSN":"09266690","abstract":"A full three level factorial design was implemented for optimization of extraction parameters in order to maximize total phenolic (TP) yield from stinging nettle leaf. Factors considered were percentage of methanol in solvent (X&lt;inf&gt;1&lt;/inf&gt;: 50-100% methanol) and extraction time (X&lt;inf&gt;2&lt;/inf&gt;: 30-90min), and maceration was used as extraction method. A second-order polynomial model was applied for fitting experimental data and predicting the response, and this mathematical model produced a satisfactory fit (R&lt;sup&gt;2&lt;/sup&gt;=0.993, p&lt;0.01). The optimal extraction conditions were 54% aqueous methanol and 38min extraction time, while maximal theoretical TP yield was 8.9mgGAE/g DW. Solvent composition significantly affected extraction efficiency causing decrease of TP yield with increase of methanol percentage. On the other hand, extraction time did not influence significantly efficiency of extraction. Using LC/MS and HPLC analysis we detected and quantified three most abundant phenolic compounds: 2-O-caffeoyl malic acid, chlorogenic acid, and rutin. Comparison between maceration and ultrasound-assisted extraction (UAE) obtained extracts based on TP content as well as antiradical activity and HPLC results, showed that UAE have a better extraction capability affecting yield and time of extraction. Of all tested extracts, 54% aqueous methanolic extracts obtained with UAE and 38min extraction time had the highest TP content.","author":[{"dropping-particle":"","family":"Vajić","given":"Una Jovana","non-dropping-particle":"","parse-names":false,"suffix":""},{"dropping-particle":"","family":"Grujić-Milanović","given":"Jelica","non-dropping-particle":"","parse-names":false,"suffix":""},{"dropping-particle":"","family":"Živković","given":"Jelena","non-dropping-particle":"","parse-names":false,"suffix":""},{"dropping-particle":"","family":"Šavikin","given":"Katarina","non-dropping-particle":"","parse-names":false,"suffix":""},{"dropping-particle":"","family":"Godevac","given":"Dejan","non-dropping-particle":"","parse-names":false,"suffix":""},{"dropping-particle":"","family":"Miloradović","given":"Zoran","non-dropping-particle":"","parse-names":false,"suffix":""},{"dropping-particle":"","family":"Bugarski","given":"Branko","non-dropping-particle":"","parse-names":false,"suffix":""},{"dropping-particle":"","family":"Mihailović-Stanojević","given":"Nevena","non-dropping-particle":"","parse-names":false,"suffix":""}],"container-title":"Industrial Crops and Products","id":"ITEM-1","issued":{"date-parts":[["2015"]]},"page":"912-917","title":"Optimization of extraction of stinging nettle leaf phenolic compounds using response surface methodology","type":"article-journal","volume":"74"},"uris":["http://www.mendeley.com/documents/?uuid=480125e1-e5da-43ec-a501-46342d1791c7"]}],"mendeley":{"formattedCitation":"&lt;sup&gt;23&lt;/sup&gt;","plainTextFormattedCitation":"23","previouslyFormattedCitation":"&lt;sup&gt;22&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23</w:t>
            </w:r>
            <w:r w:rsidRPr="00891C49">
              <w:rPr>
                <w:rFonts w:ascii="Helvetica" w:hAnsi="Helvetica" w:cs="Helvetica"/>
                <w:sz w:val="24"/>
                <w:szCs w:val="24"/>
                <w:vertAlign w:val="superscript"/>
              </w:rPr>
              <w:fldChar w:fldCharType="end"/>
            </w:r>
            <w:r w:rsidRPr="00891C49">
              <w:rPr>
                <w:rFonts w:ascii="Helvetica" w:hAnsi="Helvetica" w:cs="Helvetica"/>
                <w:sz w:val="24"/>
                <w:szCs w:val="24"/>
                <w:vertAlign w:val="superscript"/>
              </w:rPr>
              <w:t>,</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{"citationItems":[{"id":"ITEM-1","itemData":{"DOI":"10.1016/S1875-5364(17)30103-6","ISSN":"18755364","abstract":"Abstract Phenolic compounds, the most abundant secondary metabolites in plants, have received more and more attention in recent years because of their distinct bioactivities. This review summarizes different types of phenolic compounds and their extraction and analytical methods used in the recent reports, involving 59 phenolic compounds from 52 kinds of plants. The extraction methods include solid-liquid extraction, ultrasound-assisted extractions, microwave-assisted extractions, supercritical fluid extraction, and other methods. The analysis methods include spectrophotometry, gas chromatography, liquid chromatography, thin-layer chromatography, capillary electrophoresis, and near-infrared spectroscopy. After illustrating the specific conditions of the analytical methods, the advantages and disadvantages of each method are also summarized, pointing out their respective suitability. This review provides valuable reference for identification and/or quantification of phenolic compounds from natural products.","author":[{"dropping-particle":"","family":"XU","given":"Cong Cong","non-dropping-particle":"","parse-names":false,"suffix":""},{"dropping-particle":"","family":"WANG","given":"Bing","non-dropping-particle":"","parse-names":false,"suffix":""},{"dropping-particle":"","family":"PU","given":"Yi Qiong","non-dropping-particle":"","parse-names":false,"suffix":""},{"dropping-particle":"","family":"TAO","given":"Jian Sheng","non-dropping-particle":"","parse-names":false,"suffix":""},{"dropping-particle":"","family":"ZHANG","given":"Tong","non-dropping-particle":"","parse-names":false,"suffix":""}],"container-title":"Chinese Journal of Natural Medicines","id":"ITEM-1","issue":"10","issued":{"date-parts":[["2017"]]},"page":"721-731","publisher":"China Pharmaceutical University","title":"Advances in extraction and analysis of phenolic compounds from plant materials","type":"article-journal","volume":"15"},"uris":["http://www.mendeley.com/documents/?uuid=3090d6f2-88c5-42f3-b020-1cd64a18d8c9"]}],"mendeley":{"formattedCitation":"&lt;sup&gt;24&lt;/sup&gt;","plainTextFormattedCitation":"24","previouslyFormattedCitation":"&lt;sup&gt;23&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24</w:t>
            </w:r>
            <w:r w:rsidRPr="00891C49">
              <w:rPr>
                <w:rFonts w:ascii="Helvetica" w:hAnsi="Helvetica" w:cs="Helvetica"/>
                <w:sz w:val="24"/>
                <w:szCs w:val="24"/>
                <w:vertAlign w:val="superscript"/>
              </w:rPr>
              <w:fldChar w:fldCharType="end"/>
            </w:r>
            <w:r w:rsidRPr="00891C49">
              <w:rPr>
                <w:rFonts w:ascii="Helvetica" w:hAnsi="Helvetica" w:cs="Helvetica"/>
                <w:sz w:val="24"/>
                <w:szCs w:val="24"/>
                <w:vertAlign w:val="superscript"/>
              </w:rPr>
              <w:t>,</w:t>
            </w:r>
            <w:r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{"citationItems":[{"id":"ITEM-1","itemData":{"DOI":"10.1016/j.hermed.2012.11.001","ISSN":"22108033","abstract":"The efficacy and safety of herbal medicines are dependent upon the standards by which they are made and our knowledge base when prescribing them. Stinging nettles is a staple among Western herbalists and is widely used as a vegetable green, juice, tea, and freeze dried products, predominantly as a blood nourishing tonic and for seasonal rhinitis. The following botanical profile is excerpted from the American Herbal Pharmacopoeia® and Therapeutic Compendium. © 2012 Elsevier GmbH.","author":[{"dropping-particle":"","family":"Upton","given":"Roy","non-dropping-particle":"","parse-names":false,"suffix":""}],"container-title":"Journal of Herbal Medicine","id":"ITEM-1","issued":{"date-parts":[["2013"]]},"title":"Stinging nettles leaf (Urtica dioica L.): Extraordinary vegetable medicine","type":"article-journal"},"uris":["http://www.mendeley.com/documents/?uuid=81d77767-6044-4c6a-81d0-09192dba14f5"]}],"mendeley":{"formattedCitation":"&lt;sup&gt;25&lt;/sup&gt;","plainTextFormattedCitation":"25","previouslyFormattedCitation":"&lt;sup&gt;24&lt;/sup&gt;"},"properties":{"noteIndex":0},"schema":"https://github.com/citation-style-language/schema/raw/master/csl-citation.json"}</w:instrText>
            </w:r>
            <w:r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25</w:t>
            </w:r>
            <w:r w:rsidRPr="00891C49">
              <w:rPr>
                <w:rFonts w:ascii="Helvetica" w:hAnsi="Helvetica" w:cs="Helvetica"/>
                <w:sz w:val="24"/>
                <w:szCs w:val="24"/>
                <w:vertAlign w:val="superscript"/>
              </w:rPr>
              <w:fldChar w:fldCharType="end"/>
            </w:r>
            <w:r w:rsidRPr="00891C49">
              <w:rPr>
                <w:rFonts w:ascii="Helvetica" w:hAnsi="Helvetica" w:cs="Helvetica"/>
                <w:sz w:val="24"/>
                <w:szCs w:val="24"/>
              </w:rPr>
              <w:t xml:space="preserve">. </w:t>
            </w:r>
            <w:r w:rsidR="00047770" w:rsidRPr="00891C49">
              <w:rPr>
                <w:rFonts w:ascii="Helvetica" w:hAnsi="Helvetica" w:cs="Helvetica"/>
                <w:sz w:val="24"/>
                <w:szCs w:val="24"/>
              </w:rPr>
              <w:t xml:space="preserve">Existen muchos métodos para extraer propiedades de una planta como la maceración, destilación, extracción por Soxhlet, ultrasonido, fluidos super críticos, microondas, centrifugadoras y cavitación </w:t>
            </w:r>
            <w:r w:rsidR="00047770"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{"citationItems":[{"id":"ITEM-1","itemData":{"DOI":"10.1016/j.supflu.2013.10.004","ISSN":"08968446","abstract":"Response surface methodology was employed using a central composite design of experiments to optimize experimental conditions for stinging nettle extract yields under supercritical ethanol conditions. The following independent variables were investigated: extraction temperature, extraction time and plant concentration. The most significant factor was found to be the extraction temperature. A correlation coefficient was estimated to be 0.94, which demonstrates the effectiveness of the model. The values of the parameters in optimized conditions for the stinging nettle extract yield included an extraction temperature of 335 C, an extraction time of 87 min, and a plant concentration of 9. A subsequent validation experiment was carried out at the optimal conditions. The validation experiment showed that the actual and predicted values for the stinging nettle extract yields were 45.3 and 42.7 wt%, respectively. The stinging nettle extracts consisted of a collection of compounds including fatty acid esters (FAE), phenols, indoles, and nitrogen containing compounds. © 2013 Elsevier B.V. All rights reserved.","author":[{"dropping-particle":"","family":"Akalin","given":"Mehmet Kuddusi","non-dropping-particle":"","parse-names":false,"suffix":""},{"dropping-particle":"","family":"Karagöz","given":"Selhan","non-dropping-particle":"","parse-names":false,"suffix":""},{"dropping-particle":"","family":"Akyüz","given":"Mehmet","non-dropping-particle":"","parse-names":false,"suffix":""}],"container-title":"Journal of Supercritical Fluids","id":"ITEM-1","issued":{"date-parts":[["2013"]]},"title":"Application of response surface methodology to extract yields from stinging nettle under supercritical ethanol conditions","type":"article-journal"},"uris":["http://www.mendeley.com/documents/?uuid=bd83964a-7dc6-430b-b473-88cd8c03eec3"]}],"mendeley":{"formattedCitation":"&lt;sup&gt;21&lt;/sup&gt;","plainTextFormattedCitation":"21","previouslyFormattedCitation":"&lt;sup&gt;20&lt;/sup&gt;"},"properties":{"noteIndex":0},"schema":"https://github.com/citation-style-language/schema/raw/master/csl-citation.json"}</w:instrText>
            </w:r>
            <w:r w:rsidR="00047770"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21</w:t>
            </w:r>
            <w:r w:rsidR="00047770" w:rsidRPr="00891C49">
              <w:rPr>
                <w:rFonts w:ascii="Helvetica" w:hAnsi="Helvetica" w:cs="Helvetica"/>
                <w:sz w:val="24"/>
                <w:szCs w:val="24"/>
                <w:vertAlign w:val="superscript"/>
              </w:rPr>
              <w:fldChar w:fldCharType="end"/>
            </w:r>
            <w:r w:rsidR="00047770" w:rsidRPr="00891C49">
              <w:rPr>
                <w:rFonts w:ascii="Helvetica" w:hAnsi="Helvetica" w:cs="Helvetica"/>
                <w:sz w:val="24"/>
                <w:szCs w:val="24"/>
                <w:vertAlign w:val="superscript"/>
              </w:rPr>
              <w:t>,</w:t>
            </w:r>
            <w:r w:rsidR="00047770"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{"citationItems":[{"id":"ITEM-1","itemData":{"DOI":"10.1016/S1875-5364(17)30103-6","ISSN":"18755364","abstract":"Abstract Phenolic compounds, the most abundant secondary metabolites in plants, have received more and more attention in recent years because of their distinct bioactivities. This review summarizes different types of phenolic compounds and their extraction and analytical methods used in the recent reports, involving 59 phenolic compounds from 52 kinds of plants. The extraction methods include solid-liquid extraction, ultrasound-assisted extractions, microwave-assisted extractions, supercritical fluid extraction, and other methods. The analysis methods include spectrophotometry, gas chromatography, liquid chromatography, thin-layer chromatography, capillary electrophoresis, and near-infrared spectroscopy. After illustrating the specific conditions of the analytical methods, the advantages and disadvantages of each method are also summarized, pointing out their respective suitability. This review provides valuable reference for identification and/or quantification of phenolic compounds from natural products.","author":[{"dropping-particle":"","family":"XU","given":"Cong Cong","non-dropping-particle":"","parse-names":false,"suffix":""},{"dropping-particle":"","family":"WANG","given":"Bing","non-dropping-particle":"","parse-names":false,"suffix":""},{"dropping-particle":"","family":"PU","given":"Yi Qiong","non-dropping-particle":"","parse-names":false,"suffix":""},{"dropping-particle":"","family":"TAO","given":"Jian Sheng","non-dropping-particle":"","parse-names":false,"suffix":""},{"dropping-particle":"","family":"ZHANG","given":"Tong","non-dropping-particle":"","parse-names":false,"suffix":""}],"container-title":"Chinese Journal of Natural Medicines","id":"ITEM-1","issue":"10","issued":{"date-parts":[["2017"]]},"page":"721-731","publisher":"China Pharmaceutical University","title":"Advances in extraction and analysis of phenolic compounds from plant materials","type":"article-journal","volume":"15"},"uris":["http://www.mendeley.com/documents/?uuid=3090d6f2-88c5-42f3-b020-1cd64a18d8c9"]}],"mendeley":{"formattedCitation":"&lt;sup&gt;24&lt;/sup&gt;","plainTextFormattedCitation":"24","previouslyFormattedCitation":"&lt;sup&gt;23&lt;/sup&gt;"},"properties":{"noteIndex":0},"schema":"https://github.com/citation-style-language/schema/raw/master/csl-citation.json"}</w:instrText>
            </w:r>
            <w:r w:rsidR="00047770"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24</w:t>
            </w:r>
            <w:r w:rsidR="00047770" w:rsidRPr="00891C49">
              <w:rPr>
                <w:rFonts w:ascii="Helvetica" w:hAnsi="Helvetica" w:cs="Helvetica"/>
                <w:sz w:val="24"/>
                <w:szCs w:val="24"/>
                <w:vertAlign w:val="superscript"/>
              </w:rPr>
              <w:fldChar w:fldCharType="end"/>
            </w:r>
            <w:r w:rsidR="00047770" w:rsidRPr="00891C49">
              <w:rPr>
                <w:rFonts w:ascii="Helvetica" w:hAnsi="Helvetica" w:cs="Helvetica"/>
                <w:sz w:val="24"/>
                <w:szCs w:val="24"/>
                <w:vertAlign w:val="superscript"/>
              </w:rPr>
              <w:t>,</w:t>
            </w:r>
            <w:r w:rsidR="00047770"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{"citationItems":[{"id":"ITEM-1","itemData":{"DOI":"10.1016/J.HERMED.2017.05.003","ISSN":"2210-8033","abstract":"Despite the antibacterial potential of plant extracts against several bacterial infections, until now, no major studies have been published about the effect of lavender and nettle leaves against methicillin-sensitive and methicillin-resistant strains of Staphylococcus aureus (MSSA and MRSA, respectively). Thus, the authors studied their antibacterial potential against MSSA and MRSA from diabetic foot ulcers in order to find alternatives to the systematic use of antibiotics. Phenolic acids, flavonoids, flavones and flavonols were extracted from lavender and nettle leaves and characterized by HPLC-DAD/Vis. Disc diffusion assay and minimum inhibitory concentration (MIC) were used to assess their antibacterial activity. A direct association between the high content of hydroxycinnamic acids (chlorogenic acid, caffeic acid, rosmarinic acid) and flavonoids (quercetin) and decreasing bacterial growth activity was noted. The fact that lavender and nettle are rich in hydroxycinnamic acids and quercetin seems to explain the high antibacterial potential of these plant and the differences between them.","author":[{"dropping-particle":"","family":"Zenão","given":"Soraia","non-dropping-particle":"","parse-names":false,"suffix":""},{"dropping-particle":"","family":"Aires","given":"Alfredo","non-dropping-particle":"","parse-names":false,"suffix":""},{"dropping-particle":"","family":"Dias","given":"Carla","non-dropping-particle":"","parse-names":false,"suffix":""},{"dropping-particle":"","family":"Saavedra","given":"Maria José","non-dropping-particle":"","parse-names":false,"suffix":""},{"dropping-particle":"","family":"Fernandes","given":"Conceição","non-dropping-particle":"","parse-names":false,"suffix":""}],"container-title":"Journal of Herbal Medicine","id":"ITEM-1","issued":{"date-parts":[["2017","12"]]},"page":"53-58","publisher":"Elsevier","title":"Antibacterial potential of Urtica dioica and Lavandula angustifolia extracts against methicillin resistant Staphylococcus aureus isolated from diabetic foot ulcers","type":"article-journal","volume":"10"},"uris":["http://www.mendeley.com/documents/?uuid=0c2eb4b2-bdf5-44c4-aaef-a7dd01af3963"]}],"mendeley":{"formattedCitation":"&lt;sup&gt;26&lt;/sup&gt;","plainTextFormattedCitation":"26","previouslyFormattedCitation":"&lt;sup&gt;25&lt;/sup&gt;"},"properties":{"noteIndex":0},"schema":"https://github.com/citation-style-language/schema/raw/master/csl-citation.json"}</w:instrText>
            </w:r>
            <w:r w:rsidR="00047770"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26</w:t>
            </w:r>
            <w:r w:rsidR="00047770" w:rsidRPr="00891C49">
              <w:rPr>
                <w:rFonts w:ascii="Helvetica" w:hAnsi="Helvetica" w:cs="Helvetica"/>
                <w:sz w:val="24"/>
                <w:szCs w:val="24"/>
                <w:vertAlign w:val="superscript"/>
              </w:rPr>
              <w:fldChar w:fldCharType="end"/>
            </w:r>
            <w:r w:rsidR="00047770" w:rsidRPr="00891C49">
              <w:rPr>
                <w:rFonts w:ascii="Helvetica" w:hAnsi="Helvetica" w:cs="Helvetica"/>
                <w:sz w:val="24"/>
                <w:szCs w:val="24"/>
                <w:vertAlign w:val="superscript"/>
              </w:rPr>
              <w:t>,</w:t>
            </w:r>
            <w:r w:rsidR="00047770"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10.14529/hsm170409","ISBN":"0000000171335","ISSN":"25000209","author":[{"dropping-particle":"","family":"Potoroko","given":"I","non-dropping-particle":"","parse-names":false,"suffix":""},{"dropping-particle":"","family":"Kalinina","given":"I","non-dropping-particle":"","parse-names":false,"suffix":""},{"dropping-particle":"","family":"Naumenko","given":"N","non-dropping-particle":"","parse-names":false,"suffix":""},{"dropping-particle":"","family":"Fatkullin","given":"R","non-dropping-particle":"","parse-names":false,"suffix":""},{"dropping-particle":"","family":"Shaik","given":"S","non-dropping-particle":"","parse-names":false,"suffix":""},{"dropping-particle":"","family":"Sonawane","given":"S","non-dropping-particle":"","parse-names":false,"suffix":""},{"dropping-particle":"","family":"Ivanova","given":"D","non-dropping-particle":"","parse-names":false,"suffix":""},{"dropping-particle":"","family":"Kiselova-Kaneva","given":"Y","non-dropping-particle":"","parse-names":false,"suffix":""},{"dropping-particle":"","family":"Tolstykh","given":"O","non-dropping-particle":"","parse-names":false,"suffix":""},{"dropping-particle":"","family":"Paymulina","given":"A","non-dropping-particle":"","parse-names":false,"suffix":""}],"container-title":"Human. Sport. Medicine","id":"ITEM-1","issue":"4","issued":{"date-parts":[["2019"]]},"page":"77-90","title":"Possibilities of Regulating Antioxidant Activity of Medicinal Plant Extracts","type":"article-journal","volume":"17"},"uris":["http://www.mendeley.com/documents/?uuid=8c91bc49-ea58-4b65-9acd-593b8c8af978"]}],"mendeley":{"formattedCitation":"&lt;sup&gt;27&lt;/sup&gt;","plainTextFormattedCitation":"27","previouslyFormattedCitation":"&lt;sup&gt;26&lt;/sup&gt;"},"properties":{"noteIndex":0},"schema":"https://github.com/citation-style-language/schema/raw/master/csl-citation.json"}</w:instrText>
            </w:r>
            <w:r w:rsidR="00047770"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27</w:t>
            </w:r>
            <w:r w:rsidR="00047770" w:rsidRPr="00891C49">
              <w:rPr>
                <w:rFonts w:ascii="Helvetica" w:hAnsi="Helvetica" w:cs="Helvetica"/>
                <w:sz w:val="24"/>
                <w:szCs w:val="24"/>
                <w:vertAlign w:val="superscript"/>
              </w:rPr>
              <w:fldChar w:fldCharType="end"/>
            </w:r>
            <w:r w:rsidR="00047770" w:rsidRPr="00891C49">
              <w:rPr>
                <w:rFonts w:ascii="Helvetica" w:hAnsi="Helvetica" w:cs="Helvetica"/>
                <w:sz w:val="24"/>
                <w:szCs w:val="24"/>
                <w:vertAlign w:val="superscript"/>
              </w:rPr>
              <w:t>,</w:t>
            </w:r>
            <w:r w:rsidR="00047770" w:rsidRPr="00891C49">
              <w:rPr>
                <w:rFonts w:ascii="Helvetica" w:hAnsi="Helvetica" w:cs="Helvetica"/>
                <w:sz w:val="24"/>
                <w:szCs w:val="24"/>
                <w:vertAlign w:val="superscript"/>
              </w:rPr>
              <w:fldChar w:fldCharType="begin" w:fldLock="1"/>
            </w:r>
            <w:r w:rsidR="00B02898">
              <w:rPr>
                <w:rFonts w:ascii="Helvetica" w:hAnsi="Helvetica" w:cs="Helvetica"/>
                <w:sz w:val="24"/>
                <w:szCs w:val="24"/>
                <w:vertAlign w:val="superscript"/>
              </w:rPr>
              <w:instrText>ADDIN CSL_CITATION {"citationItems":[{"id":"ITEM-1","itemData":{"DOI":"10.1016/J.CHROMA.2017.07.066","ISSN":"0021-9673","abstract":"The majority of studies based on phenolic compounds from plants are focused on the extractable fraction derived from an aqueous or aqueous-organic extraction. However, an important fraction of polyphenols is ignored due to the fact that they remain retained in the residue of extraction. They are the so-called non-extractable polyphenols (NEPs) which are high molecular weight polymeric polyphenols or individual low molecular weight phenolics associated to macromolecules. The scarce information available about NEPs shows that these compounds possess interesting biological activities. That is why the interest about the study of these compounds has been increasing in the last years. Furthermore, the extraction and characterization of NEPs are considered a challenge because the developed analytical methodologies present some limitations. Thus, the present literature review summarizes current knowledge of NEPs and the different methodologies for the extraction of these compounds, with a particular focus on hydrolysis treatments. Besides, this review provides information on the most recent developments in the purification, separation, identification and quantification of NEPs from plants.","author":[{"dropping-particle":"","family":"Domínguez-Rodríguez","given":"Gloria","non-dropping-particle":"","parse-names":false,"suffix":""},{"dropping-particle":"","family":"Marina","given":"María Luisa","non-dropping-particle":"","parse-names":false,"suffix":""},{"dropping-particle":"","family":"Plaza","given":"Merichel","non-dropping-particle":"","parse-names":false,"suffix":""}],"container-title":"Journal of Chromatography A","id":"ITEM-1","issued":{"date-parts":[["2017","9"]]},"page":"1-15","publisher":"Elsevier","title":"Strategies for the extraction and analysis of non-extractable polyphenols from plants","type":"article-journal","volume":"1514"},"uris":["http://www.mendeley.com/documents/?uuid=1fc47dda-f6e7-4172-a3c5-7a2b5476b1f9"]}],"mendeley":{"formattedCitation":"&lt;sup&gt;20&lt;/sup&gt;","plainTextFormattedCitation":"20","previouslyFormattedCitation":"&lt;sup&gt;19&lt;/sup&gt;"},"properties":{"noteIndex":0},"schema":"https://github.com/citation-style-language/schema/raw/master/csl-citation.json"}</w:instrText>
            </w:r>
            <w:r w:rsidR="00047770" w:rsidRPr="00891C49">
              <w:rPr>
                <w:rFonts w:ascii="Helvetica" w:hAnsi="Helvetica" w:cs="Helvetica"/>
                <w:sz w:val="24"/>
                <w:szCs w:val="24"/>
                <w:vertAlign w:val="superscript"/>
              </w:rPr>
              <w:fldChar w:fldCharType="separate"/>
            </w:r>
            <w:r w:rsidR="00B02898" w:rsidRPr="00B02898">
              <w:rPr>
                <w:rFonts w:ascii="Helvetica" w:hAnsi="Helvetica" w:cs="Helvetica"/>
                <w:noProof/>
                <w:sz w:val="24"/>
                <w:szCs w:val="24"/>
                <w:vertAlign w:val="superscript"/>
              </w:rPr>
              <w:t>20</w:t>
            </w:r>
            <w:r w:rsidR="00047770" w:rsidRPr="00891C49">
              <w:rPr>
                <w:rFonts w:ascii="Helvetica" w:hAnsi="Helvetica" w:cs="Helvetica"/>
                <w:sz w:val="24"/>
                <w:szCs w:val="24"/>
                <w:vertAlign w:val="superscript"/>
              </w:rPr>
              <w:fldChar w:fldCharType="end"/>
            </w:r>
            <w:r w:rsidR="00047770" w:rsidRPr="00891C49">
              <w:rPr>
                <w:rFonts w:ascii="Helvetica" w:hAnsi="Helvetica" w:cs="Helvetica"/>
                <w:sz w:val="24"/>
                <w:szCs w:val="24"/>
              </w:rPr>
              <w:t xml:space="preserve">.  </w:t>
            </w:r>
          </w:p>
          <w:p w14:paraId="17BD5597" w14:textId="77777777" w:rsidR="00047770" w:rsidRPr="0044363A" w:rsidRDefault="00047770" w:rsidP="00047770">
            <w:pPr>
              <w:jc w:val="both"/>
              <w:rPr>
                <w:rFonts w:ascii="Helvetica" w:eastAsia="Times New Roman" w:hAnsi="Helvetica" w:cs="Helvetica"/>
                <w:b/>
                <w:color w:val="222222"/>
                <w:sz w:val="24"/>
                <w:szCs w:val="24"/>
                <w:lang w:eastAsia="es-CO"/>
              </w:rPr>
            </w:pPr>
            <w:r w:rsidRPr="0044363A">
              <w:rPr>
                <w:rFonts w:ascii="Helvetica" w:eastAsia="Times New Roman" w:hAnsi="Helvetica" w:cs="Helvetica"/>
                <w:b/>
                <w:color w:val="222222"/>
                <w:sz w:val="24"/>
                <w:szCs w:val="24"/>
                <w:lang w:eastAsia="es-CO"/>
              </w:rPr>
              <w:t>Métodos de extracción de principios activos a partir de la ortiga</w:t>
            </w:r>
          </w:p>
          <w:p w14:paraId="558930FC" w14:textId="77777777" w:rsidR="00047770" w:rsidRPr="00CB333C" w:rsidRDefault="00047770" w:rsidP="00047770">
            <w:pPr>
              <w:jc w:val="both"/>
              <w:rPr>
                <w:rFonts w:ascii="Helvetica" w:eastAsia="Times New Roman" w:hAnsi="Helvetica" w:cs="Helvetica"/>
                <w:color w:val="222222"/>
                <w:sz w:val="24"/>
                <w:szCs w:val="24"/>
                <w:lang w:eastAsia="es-CO"/>
              </w:rPr>
            </w:pPr>
            <w:r w:rsidRPr="00CB333C">
              <w:rPr>
                <w:rFonts w:ascii="Helvetica" w:eastAsia="Times New Roman" w:hAnsi="Helvetica" w:cs="Helvetica"/>
                <w:color w:val="222222"/>
                <w:sz w:val="24"/>
                <w:szCs w:val="24"/>
                <w:lang w:eastAsia="es-CO"/>
              </w:rPr>
              <w:t>Distintos métodos se han reportado para la extracción de principios activos a partir de la ortiga. Dentro de los más importantes se tienen:</w:t>
            </w:r>
          </w:p>
          <w:p w14:paraId="0B29170E" w14:textId="100C849D" w:rsidR="00742C57" w:rsidRPr="00891C49" w:rsidRDefault="00047770" w:rsidP="00742C57">
            <w:pPr>
              <w:pStyle w:val="Prrafodelista"/>
              <w:numPr>
                <w:ilvl w:val="0"/>
                <w:numId w:val="6"/>
              </w:numPr>
              <w:jc w:val="both"/>
              <w:rPr>
                <w:rFonts w:ascii="Helvetica" w:hAnsi="Helvetica" w:cs="Helvetica"/>
                <w:b/>
                <w:bCs/>
                <w:sz w:val="24"/>
                <w:szCs w:val="24"/>
              </w:rPr>
            </w:pPr>
            <w:r w:rsidRPr="00891C49">
              <w:rPr>
                <w:rFonts w:ascii="Helvetica" w:hAnsi="Helvetica" w:cs="Helvetica"/>
                <w:b/>
                <w:bCs/>
                <w:sz w:val="24"/>
                <w:szCs w:val="24"/>
              </w:rPr>
              <w:t xml:space="preserve">Maceración: </w:t>
            </w:r>
            <w:r w:rsidR="008A6C82" w:rsidRPr="00891C49">
              <w:rPr>
                <w:rFonts w:ascii="Helvetica" w:hAnsi="Helvetica" w:cs="Helvetica"/>
                <w:bCs/>
                <w:sz w:val="24"/>
                <w:szCs w:val="24"/>
              </w:rPr>
              <w:t xml:space="preserve">En </w:t>
            </w:r>
            <w:r w:rsidR="008A6C82" w:rsidRPr="00891C49">
              <w:rPr>
                <w:rFonts w:ascii="Helvetica" w:hAnsi="Helvetica" w:cs="Helvetica"/>
                <w:sz w:val="24"/>
                <w:szCs w:val="24"/>
              </w:rPr>
              <w:t xml:space="preserve">este método la planta es sometida a maceración en mortero y luego se realiza la extracción con solventes. </w:t>
            </w:r>
            <w:r w:rsidR="00742C57" w:rsidRPr="00891C49">
              <w:rPr>
                <w:rFonts w:ascii="Helvetica" w:hAnsi="Helvetica" w:cs="Helvetica"/>
                <w:sz w:val="24"/>
                <w:szCs w:val="24"/>
              </w:rPr>
              <w:t>Se han evaluado distintos solventes como metanol (50%, 75% y 100%), etanol (50%, 75% y 96%) y agua</w:t>
            </w:r>
            <w:r w:rsidR="00742C57" w:rsidRPr="00891C49">
              <w:rPr>
                <w:rFonts w:ascii="Helvetica" w:eastAsiaTheme="minorEastAsia" w:hAnsi="Helvetica" w:cs="Helvetica"/>
                <w:sz w:val="24"/>
                <w:szCs w:val="24"/>
              </w:rPr>
              <w:t>, logrando la extracción de sustancias</w:t>
            </w:r>
            <w:r w:rsidRPr="00891C49">
              <w:rPr>
                <w:rFonts w:ascii="Helvetica" w:eastAsiaTheme="minorEastAsia" w:hAnsi="Helvetica" w:cs="Helvetica"/>
                <w:sz w:val="24"/>
                <w:szCs w:val="24"/>
              </w:rPr>
              <w:t xml:space="preserve"> fenólicas, derivadas del ácido hidroxicinamico y flavonoides, mediante el análisis de HPLC se cuantificaron los </w:t>
            </w:r>
            <w:r w:rsidRPr="00891C49">
              <w:rPr>
                <w:rFonts w:ascii="Helvetica" w:eastAsiaTheme="minorEastAsia" w:hAnsi="Helvetica" w:cs="Helvetica"/>
                <w:sz w:val="24"/>
                <w:szCs w:val="24"/>
              </w:rPr>
              <w:lastRenderedPageBreak/>
              <w:t>fenólicos más abundantes hasta un total de 76.5% del total de compuestos que son: acido 2-O cafeína maleico y acido clorogénico</w:t>
            </w:r>
            <w:r w:rsidRPr="00891C49">
              <w:rPr>
                <w:rFonts w:ascii="Helvetica" w:eastAsiaTheme="minorEastAsia" w:hAnsi="Helvetica" w:cs="Helvetica"/>
                <w:sz w:val="24"/>
                <w:szCs w:val="24"/>
              </w:rPr>
              <w:fldChar w:fldCharType="begin" w:fldLock="1"/>
            </w:r>
            <w:r w:rsidR="00B02898">
              <w:rPr>
                <w:rFonts w:ascii="Helvetica" w:eastAsiaTheme="minorEastAsia" w:hAnsi="Helvetica" w:cs="Helvetica"/>
                <w:sz w:val="24"/>
                <w:szCs w:val="24"/>
              </w:rPr>
              <w:instrText>ADDIN CSL_CITATION {"citationItems":[{"id":"ITEM-1","itemData":{"DOI":"10.1016/j.indcrop.2015.06.032","ISSN":"09266690","abstract":"A full three level factorial design was implemented for optimization of extraction parameters in order to maximize total phenolic (TP) yield from stinging nettle leaf. Factors considered were percentage of methanol in solvent (X&lt;inf&gt;1&lt;/inf&gt;: 50-100% methanol) and extraction time (X&lt;inf&gt;2&lt;/inf&gt;: 30-90min), and maceration was used as extraction method. A second-order polynomial model was applied for fitting experimental data and predicting the response, and this mathematical model produced a satisfactory fit (R&lt;sup&gt;2&lt;/sup&gt;=0.993, p&lt;0.01). The optimal extraction conditions were 54% aqueous methanol and 38min extraction time, while maximal theoretical TP yield was 8.9mgGAE/g DW. Solvent composition significantly affected extraction efficiency causing decrease of TP yield with increase of methanol percentage. On the other hand, extraction time did not influence significantly efficiency of extraction. Using LC/MS and HPLC analysis we detected and quantified three most abundant phenolic compounds: 2-O-caffeoyl malic acid, chlorogenic acid, and rutin. Comparison between maceration and ultrasound-assisted extraction (UAE) obtained extracts based on TP content as well as antiradical activity and HPLC results, showed that UAE have a better extraction capability affecting yield and time of extraction. Of all tested extracts, 54% aqueous methanolic extracts obtained with UAE and 38min extraction time had the highest TP content.","author":[{"dropping-particle":"","family":"Vajić","given":"Una Jovana","non-dropping-particle":"","parse-names":false,"suffix":""},{"dropping-particle":"","family":"Grujić-Milanović","given":"Jelica","non-dropping-particle":"","parse-names":false,"suffix":""},{"dropping-particle":"","family":"Živković","given":"Jelena","non-dropping-particle":"","parse-names":false,"suffix":""},{"dropping-particle":"","family":"Šavikin","given":"Katarina","non-dropping-particle":"","parse-names":false,"suffix":""},{"dropping-particle":"","family":"Godevac","given":"Dejan","non-dropping-particle":"","parse-names":false,"suffix":""},{"dropping-particle":"","family":"Miloradović","given":"Zoran","non-dropping-particle":"","parse-names":false,"suffix":""},{"dropping-particle":"","family":"Bugarski","given":"Branko","non-dropping-particle":"","parse-names":false,"suffix":""},{"dropping-particle":"","family":"Mihailović-Stanojević","given":"Nevena","non-dropping-particle":"","parse-names":false,"suffix":""}],"container-title":"Industrial Crops and Products","id":"ITEM-1","issued":{"date-parts":[["2015"]]},"page":"912-917","title":"Optimization of extraction of stinging nettle leaf phenolic compounds using response surface methodology","type":"article-journal","volume":"74"},"uris":["http://www.mendeley.com/documents/?uuid=480125e1-e5da-43ec-a501-46342d1791c7"]}],"mendeley":{"formattedCitation":"&lt;sup&gt;23&lt;/sup&gt;","plainTextFormattedCitation":"23","previouslyFormattedCitation":"&lt;sup&gt;22&lt;/sup&gt;"},"properties":{"noteIndex":0},"schema":"https://github.com/citation-style-language/schema/raw/master/csl-citation.json"}</w:instrText>
            </w:r>
            <w:r w:rsidRPr="00891C49">
              <w:rPr>
                <w:rFonts w:ascii="Helvetica" w:eastAsiaTheme="minorEastAsia" w:hAnsi="Helvetica" w:cs="Helvetica"/>
                <w:sz w:val="24"/>
                <w:szCs w:val="24"/>
              </w:rPr>
              <w:fldChar w:fldCharType="separate"/>
            </w:r>
            <w:r w:rsidR="00B02898" w:rsidRPr="00B02898">
              <w:rPr>
                <w:rFonts w:ascii="Helvetica" w:eastAsiaTheme="minorEastAsia" w:hAnsi="Helvetica" w:cs="Helvetica"/>
                <w:noProof/>
                <w:sz w:val="24"/>
                <w:szCs w:val="24"/>
                <w:vertAlign w:val="superscript"/>
              </w:rPr>
              <w:t>23</w:t>
            </w:r>
            <w:r w:rsidRPr="00891C49">
              <w:rPr>
                <w:rFonts w:ascii="Helvetica" w:eastAsiaTheme="minorEastAsia" w:hAnsi="Helvetica" w:cs="Helvetica"/>
                <w:sz w:val="24"/>
                <w:szCs w:val="24"/>
              </w:rPr>
              <w:fldChar w:fldCharType="end"/>
            </w:r>
            <w:r w:rsidRPr="00891C49">
              <w:rPr>
                <w:rFonts w:ascii="Helvetica" w:eastAsiaTheme="minorEastAsia" w:hAnsi="Helvetica" w:cs="Helvetica"/>
                <w:sz w:val="24"/>
                <w:szCs w:val="24"/>
              </w:rPr>
              <w:t>.</w:t>
            </w:r>
          </w:p>
          <w:p w14:paraId="42662FF4" w14:textId="08C22FA8" w:rsidR="00047770" w:rsidRPr="00891C49" w:rsidRDefault="00047770" w:rsidP="00823ABD">
            <w:pPr>
              <w:pStyle w:val="Prrafodelista"/>
              <w:numPr>
                <w:ilvl w:val="0"/>
                <w:numId w:val="6"/>
              </w:numPr>
              <w:jc w:val="both"/>
              <w:rPr>
                <w:rFonts w:ascii="Helvetica" w:hAnsi="Helvetica" w:cs="Helvetica"/>
                <w:b/>
                <w:bCs/>
                <w:sz w:val="24"/>
                <w:szCs w:val="24"/>
              </w:rPr>
            </w:pPr>
            <w:r w:rsidRPr="00891C49">
              <w:rPr>
                <w:rFonts w:ascii="Helvetica" w:hAnsi="Helvetica" w:cs="Helvetica"/>
                <w:b/>
                <w:bCs/>
                <w:sz w:val="24"/>
                <w:szCs w:val="24"/>
              </w:rPr>
              <w:t>Extracción por ultra sonido:</w:t>
            </w:r>
            <w:r w:rsidRPr="00891C49">
              <w:rPr>
                <w:rFonts w:ascii="Helvetica" w:hAnsi="Helvetica" w:cs="Helvetica"/>
                <w:sz w:val="24"/>
                <w:szCs w:val="24"/>
              </w:rPr>
              <w:t xml:space="preserve"> </w:t>
            </w:r>
            <w:r w:rsidR="00742C57" w:rsidRPr="00891C49">
              <w:rPr>
                <w:rFonts w:ascii="Helvetica" w:hAnsi="Helvetica" w:cs="Helvetica"/>
                <w:sz w:val="24"/>
                <w:szCs w:val="24"/>
              </w:rPr>
              <w:t xml:space="preserve">Otra alternativa para la extracción es utilizando ultrasonido, usando agua como solvente a </w:t>
            </w:r>
            <w:r w:rsidRPr="00891C49">
              <w:rPr>
                <w:rFonts w:ascii="Helvetica" w:hAnsi="Helvetica" w:cs="Helvetica"/>
                <w:sz w:val="24"/>
                <w:szCs w:val="24"/>
              </w:rPr>
              <w:t>40°C con una potencia máxima de 300 W y 20 kHz</w:t>
            </w:r>
            <w:r w:rsidR="00742C57" w:rsidRPr="00891C49">
              <w:rPr>
                <w:rFonts w:ascii="Helvetica" w:hAnsi="Helvetica" w:cs="Helvetica"/>
                <w:sz w:val="24"/>
                <w:szCs w:val="24"/>
              </w:rPr>
              <w:t xml:space="preserve">, logrando la extracción de </w:t>
            </w:r>
            <w:r w:rsidRPr="00891C49">
              <w:rPr>
                <w:rFonts w:ascii="Helvetica" w:eastAsiaTheme="minorEastAsia" w:hAnsi="Helvetica" w:cs="Helvetica"/>
                <w:sz w:val="24"/>
                <w:szCs w:val="24"/>
              </w:rPr>
              <w:t xml:space="preserve">1.209 mg/g de ácido galo, 1.289 mg/g de ácido cafeico, 4.453 mg/g de ácido clorogénico, 1.100 mg/g de ácido p-cumarico, 5.735 mg/g de naringenina y 0.784 mg/g de naringin </w:t>
            </w:r>
            <w:r w:rsidRPr="00891C49">
              <w:rPr>
                <w:rFonts w:ascii="Helvetica" w:eastAsiaTheme="minorEastAsia" w:hAnsi="Helvetica" w:cs="Helvetica"/>
                <w:sz w:val="24"/>
                <w:szCs w:val="24"/>
              </w:rPr>
              <w:fldChar w:fldCharType="begin" w:fldLock="1"/>
            </w:r>
            <w:r w:rsidR="00B02898">
              <w:rPr>
                <w:rFonts w:ascii="Helvetica" w:eastAsiaTheme="minorEastAsia" w:hAnsi="Helvetica" w:cs="Helvetica"/>
                <w:sz w:val="24"/>
                <w:szCs w:val="24"/>
              </w:rPr>
              <w:instrText>ADDIN CSL_CITATION {"citationItems":[{"id":"ITEM-1","itemData":{"DOI":"10.1007/s13197-012-0828-3","ISSN":"09758402","abstract":"© 2012, Association of Food Scientists  &amp;  Technologists (India). In this study, extraction of phenolic compounds from nettle by microwave and ultrasound was studied. In both microwave and ultrasound-assisted extractions, effects of extraction time (5–20 min for microwave; 5–30 min for ultrasound) and solid to solvent ratio (1:10, 1:20, and 1:30 g/mL) on total phenolic content (TPC) were investigated. Effects of different powers (50 % and 80 %) were also studied for ultrasound-assisted extraction. In microwave-assisted extraction, the optimum TPC of the extracts (24.64 ± 2.36 mg GAE/g dry material) was obtained in 10 min and at 1:30 solid to solvent ratio. For ultrasound-assisted extraction, the condition that gave the highest TPC (23.86 ± 1.92 mg GAE/g dry material) was 30 min, 1:30 solid to solvent ratio, and 80 % power. Extracts obtained at the optimum conditions of microwave and ultrasound were compared in terms of TPC, antioxidant activity (AA) and concentration of phenolic acids with conventional extraction and maceration, respectively. Microwave reduced extraction time by 67 %. AA of extracts varied between 2.95 ± 0.01 and 4.48 ± 0.03 mg DPPH/g dry material among four methods. Major phenolic compounds were determined as naringenin and chlorogenic acid in nettle.","author":[{"dropping-particle":"","family":"Ince","given":"Alev Emine","non-dropping-particle":"","parse-names":false,"suffix":""},{"dropping-particle":"","family":"Sahin","given":"Serpil","non-dropping-particle":"","parse-names":false,"suffix":""},{"dropping-particle":"","family":"Sumnu","given":"Gulum","non-dropping-particle":"","parse-names":false,"suffix":""}],"container-title":"Journal of Food Science and Technology","id":"ITEM-1","issue":"10","issued":{"date-parts":[["2014"]]},"page":"2776-2782","title":"Comparison of microwave and ultrasound-assisted extraction techniques for leaching of phenolic compounds from nettle","type":"article-journal","volume":"51"},"uris":["http://www.mendeley.com/documents/?uuid=5118c5e9-4705-4db5-bc11-2dbb42a62920"]}],"mendeley":{"formattedCitation":"&lt;sup&gt;28&lt;/sup&gt;","plainTextFormattedCitation":"28","previouslyFormattedCitation":"&lt;sup&gt;27&lt;/sup&gt;"},"properties":{"noteIndex":0},"schema":"https://github.com/citation-style-language/schema/raw/master/csl-citation.json"}</w:instrText>
            </w:r>
            <w:r w:rsidRPr="00891C49">
              <w:rPr>
                <w:rFonts w:ascii="Helvetica" w:eastAsiaTheme="minorEastAsia" w:hAnsi="Helvetica" w:cs="Helvetica"/>
                <w:sz w:val="24"/>
                <w:szCs w:val="24"/>
              </w:rPr>
              <w:fldChar w:fldCharType="separate"/>
            </w:r>
            <w:r w:rsidR="00B02898" w:rsidRPr="00B02898">
              <w:rPr>
                <w:rFonts w:ascii="Helvetica" w:eastAsiaTheme="minorEastAsia" w:hAnsi="Helvetica" w:cs="Helvetica"/>
                <w:noProof/>
                <w:sz w:val="24"/>
                <w:szCs w:val="24"/>
                <w:vertAlign w:val="superscript"/>
              </w:rPr>
              <w:t>28</w:t>
            </w:r>
            <w:r w:rsidRPr="00891C49">
              <w:rPr>
                <w:rFonts w:ascii="Helvetica" w:eastAsiaTheme="minorEastAsia" w:hAnsi="Helvetica" w:cs="Helvetica"/>
                <w:sz w:val="24"/>
                <w:szCs w:val="24"/>
              </w:rPr>
              <w:fldChar w:fldCharType="end"/>
            </w:r>
            <w:r w:rsidRPr="00891C49">
              <w:rPr>
                <w:rFonts w:ascii="Helvetica" w:eastAsiaTheme="minorEastAsia" w:hAnsi="Helvetica" w:cs="Helvetica"/>
                <w:sz w:val="24"/>
                <w:szCs w:val="24"/>
              </w:rPr>
              <w:t>.</w:t>
            </w:r>
            <w:r w:rsidR="00742C57" w:rsidRPr="00891C49">
              <w:rPr>
                <w:rFonts w:ascii="Helvetica" w:eastAsiaTheme="minorEastAsia" w:hAnsi="Helvetica" w:cs="Helvetica"/>
                <w:sz w:val="24"/>
                <w:szCs w:val="24"/>
              </w:rPr>
              <w:t xml:space="preserve"> Desafortunadamente este método de extracción no es escalable a un nivel industrial.</w:t>
            </w:r>
          </w:p>
          <w:p w14:paraId="654A827F" w14:textId="4B0B5E4F" w:rsidR="00047770" w:rsidRPr="00891C49" w:rsidRDefault="00047770" w:rsidP="00047770">
            <w:pPr>
              <w:pStyle w:val="Prrafodelista"/>
              <w:numPr>
                <w:ilvl w:val="0"/>
                <w:numId w:val="4"/>
              </w:numPr>
              <w:jc w:val="both"/>
              <w:rPr>
                <w:rFonts w:ascii="Helvetica" w:hAnsi="Helvetica" w:cs="Helvetica"/>
                <w:sz w:val="24"/>
                <w:szCs w:val="24"/>
              </w:rPr>
            </w:pPr>
            <w:r w:rsidRPr="00891C49">
              <w:rPr>
                <w:rFonts w:ascii="Helvetica" w:hAnsi="Helvetica" w:cs="Helvetica"/>
                <w:b/>
                <w:bCs/>
                <w:sz w:val="24"/>
                <w:szCs w:val="24"/>
              </w:rPr>
              <w:t>Extracción por fluidos super críticos:</w:t>
            </w:r>
            <w:r w:rsidR="00742C57" w:rsidRPr="00891C49">
              <w:rPr>
                <w:rFonts w:ascii="Helvetica" w:hAnsi="Helvetica" w:cs="Helvetica"/>
                <w:b/>
                <w:bCs/>
                <w:sz w:val="24"/>
                <w:szCs w:val="24"/>
              </w:rPr>
              <w:t xml:space="preserve"> </w:t>
            </w:r>
            <w:r w:rsidR="00742C57" w:rsidRPr="00891C49">
              <w:rPr>
                <w:rFonts w:ascii="Helvetica" w:hAnsi="Helvetica" w:cs="Helvetica"/>
                <w:bCs/>
                <w:sz w:val="24"/>
                <w:szCs w:val="24"/>
              </w:rPr>
              <w:t>Mediante el uso de CO</w:t>
            </w:r>
            <w:r w:rsidR="00742C57" w:rsidRPr="00891C49">
              <w:rPr>
                <w:rFonts w:ascii="Helvetica" w:hAnsi="Helvetica" w:cs="Helvetica"/>
                <w:bCs/>
                <w:sz w:val="24"/>
                <w:szCs w:val="24"/>
                <w:vertAlign w:val="subscript"/>
              </w:rPr>
              <w:t>2</w:t>
            </w:r>
            <w:r w:rsidR="00742C57" w:rsidRPr="00891C49">
              <w:rPr>
                <w:rFonts w:ascii="Helvetica" w:hAnsi="Helvetica" w:cs="Helvetica"/>
                <w:sz w:val="24"/>
                <w:szCs w:val="24"/>
              </w:rPr>
              <w:t xml:space="preserve"> presurizado es posible realizar la extracción a temperaturas entre 25°C y presiones entre </w:t>
            </w:r>
            <w:r w:rsidRPr="00891C49">
              <w:rPr>
                <w:rFonts w:ascii="Helvetica" w:hAnsi="Helvetica" w:cs="Helvetica"/>
                <w:sz w:val="24"/>
                <w:szCs w:val="24"/>
              </w:rPr>
              <w:t>100 bar</w:t>
            </w:r>
            <w:r w:rsidR="00742C57" w:rsidRPr="00891C49">
              <w:rPr>
                <w:rFonts w:ascii="Helvetica" w:hAnsi="Helvetica" w:cs="Helvetica"/>
                <w:sz w:val="24"/>
                <w:szCs w:val="24"/>
              </w:rPr>
              <w:t xml:space="preserve"> y </w:t>
            </w:r>
            <w:r w:rsidRPr="00891C49">
              <w:rPr>
                <w:rFonts w:ascii="Helvetica" w:hAnsi="Helvetica" w:cs="Helvetica"/>
                <w:sz w:val="24"/>
                <w:szCs w:val="24"/>
              </w:rPr>
              <w:t>280 bar</w:t>
            </w:r>
            <w:r w:rsidR="00742C57" w:rsidRPr="00891C49">
              <w:rPr>
                <w:rFonts w:ascii="Helvetica" w:hAnsi="Helvetica" w:cs="Helvetica"/>
                <w:sz w:val="24"/>
                <w:szCs w:val="24"/>
              </w:rPr>
              <w:t xml:space="preserve">, con lo cual se obtienen </w:t>
            </w:r>
            <w:r w:rsidRPr="00891C49">
              <w:rPr>
                <w:rFonts w:ascii="Helvetica" w:eastAsiaTheme="minorEastAsia" w:hAnsi="Helvetica" w:cs="Helvetica"/>
                <w:sz w:val="24"/>
                <w:szCs w:val="24"/>
              </w:rPr>
              <w:t>0.63mg/g de β-sitosterol y 0.058g/g de escopoletina</w:t>
            </w:r>
            <w:r w:rsidRPr="00891C49">
              <w:rPr>
                <w:rFonts w:ascii="Helvetica" w:eastAsiaTheme="minorEastAsia" w:hAnsi="Helvetica" w:cs="Helvetica"/>
                <w:sz w:val="24"/>
                <w:szCs w:val="24"/>
              </w:rPr>
              <w:fldChar w:fldCharType="begin" w:fldLock="1"/>
            </w:r>
            <w:r w:rsidR="00B02898">
              <w:rPr>
                <w:rFonts w:ascii="Helvetica" w:eastAsiaTheme="minorEastAsia" w:hAnsi="Helvetica" w:cs="Helvetica"/>
                <w:sz w:val="24"/>
                <w:szCs w:val="24"/>
              </w:rPr>
              <w:instrText>ADDIN CSL_CITATION {"citationItems":[{"id":"ITEM-1","itemData":{"DOI":"10.1016/j.supflu.2004.12.008","ISSN":"08968446","abstract":"β-Sitosterol (22,23-dihydrostigmasterol) and scopoletin (7-hydroxy-6-methoxycoumarin) were extracted from roots of stinging nettle (Urtica dioica L.) with supercritical and liquid CO2. Extraction rates were measured for both oleoresin and the individual substances in dependence on extraction conditions. The solvent modified with ethanol (0-9.4 wt.%) was applied at the pressures of 100, 200, 250 and 280 bar and the temperatures of 25, 40 and 60 °C. Extracts were analysed by means of HPLC method. The maximum yields of β-sitosterol and scopoletin were 0.63 and 0.058 mg/g dry mass, respectively. In comparison with the extract obtained with diethyl ether, the maximum yields obtained with CO2 were at least two times higher for both investigated substances. A model describing the extraction of a solute that is present in two forms, free and interacting with matrix, was applied to interpret the experimental extraction curves. © 2005 Elsevier B.V. All rights reserved.","author":[{"dropping-particle":"","family":"Sajfrtová","given":"M.","non-dropping-particle":"","parse-names":false,"suffix":""},{"dropping-particle":"","family":"Sovová","given":"H.","non-dropping-particle":"","parse-names":false,"suffix":""},{"dropping-particle":"","family":"Opletal","given":"L.","non-dropping-particle":"","parse-names":false,"suffix":""},{"dropping-particle":"","family":"Bártlová","given":"M.","non-dropping-particle":"","parse-names":false,"suffix":""}],"container-title":"Journal of Supercritical Fluids","id":"ITEM-1","issued":{"date-parts":[["2005"]]},"title":"Near-critical extraction of β-sitosterol and scopoletin from stinging nettle roots","type":"article-journal"},"uris":["http://www.mendeley.com/documents/?uuid=66259ca7-ac36-4312-a5e8-a44f79e97cd6"]}],"mendeley":{"formattedCitation":"&lt;sup&gt;29&lt;/sup&gt;","plainTextFormattedCitation":"29","previouslyFormattedCitation":"&lt;sup&gt;28&lt;/sup&gt;"},"properties":{"noteIndex":0},"schema":"https://github.com/citation-style-language/schema/raw/master/csl-citation.json"}</w:instrText>
            </w:r>
            <w:r w:rsidRPr="00891C49">
              <w:rPr>
                <w:rFonts w:ascii="Helvetica" w:eastAsiaTheme="minorEastAsia" w:hAnsi="Helvetica" w:cs="Helvetica"/>
                <w:sz w:val="24"/>
                <w:szCs w:val="24"/>
              </w:rPr>
              <w:fldChar w:fldCharType="separate"/>
            </w:r>
            <w:r w:rsidR="00B02898" w:rsidRPr="00B02898">
              <w:rPr>
                <w:rFonts w:ascii="Helvetica" w:eastAsiaTheme="minorEastAsia" w:hAnsi="Helvetica" w:cs="Helvetica"/>
                <w:noProof/>
                <w:sz w:val="24"/>
                <w:szCs w:val="24"/>
                <w:vertAlign w:val="superscript"/>
              </w:rPr>
              <w:t>29</w:t>
            </w:r>
            <w:r w:rsidRPr="00891C49">
              <w:rPr>
                <w:rFonts w:ascii="Helvetica" w:eastAsiaTheme="minorEastAsia" w:hAnsi="Helvetica" w:cs="Helvetica"/>
                <w:sz w:val="24"/>
                <w:szCs w:val="24"/>
              </w:rPr>
              <w:fldChar w:fldCharType="end"/>
            </w:r>
            <w:r w:rsidRPr="00891C49">
              <w:rPr>
                <w:rFonts w:ascii="Helvetica" w:eastAsiaTheme="minorEastAsia" w:hAnsi="Helvetica" w:cs="Helvetica"/>
                <w:sz w:val="24"/>
                <w:szCs w:val="24"/>
              </w:rPr>
              <w:t xml:space="preserve">. </w:t>
            </w:r>
          </w:p>
          <w:p w14:paraId="767D40B0" w14:textId="4CBA9378" w:rsidR="00047770" w:rsidRPr="00891C49" w:rsidRDefault="00047770" w:rsidP="00047770">
            <w:pPr>
              <w:pStyle w:val="Prrafodelista"/>
              <w:numPr>
                <w:ilvl w:val="0"/>
                <w:numId w:val="4"/>
              </w:numPr>
              <w:jc w:val="both"/>
              <w:rPr>
                <w:rFonts w:ascii="Helvetica" w:hAnsi="Helvetica" w:cs="Helvetica"/>
                <w:sz w:val="24"/>
                <w:szCs w:val="24"/>
              </w:rPr>
            </w:pPr>
            <w:r w:rsidRPr="00891C49">
              <w:rPr>
                <w:rFonts w:ascii="Helvetica" w:hAnsi="Helvetica" w:cs="Helvetica"/>
                <w:b/>
                <w:bCs/>
                <w:sz w:val="24"/>
                <w:szCs w:val="24"/>
              </w:rPr>
              <w:t xml:space="preserve">Extracción por microondas: </w:t>
            </w:r>
            <w:r w:rsidR="00742C57" w:rsidRPr="00891C49">
              <w:rPr>
                <w:rFonts w:ascii="Helvetica" w:hAnsi="Helvetica" w:cs="Helvetica"/>
                <w:sz w:val="24"/>
                <w:szCs w:val="24"/>
              </w:rPr>
              <w:t xml:space="preserve">Usando </w:t>
            </w:r>
            <w:r w:rsidRPr="00891C49">
              <w:rPr>
                <w:rFonts w:ascii="Helvetica" w:hAnsi="Helvetica" w:cs="Helvetica"/>
                <w:sz w:val="24"/>
                <w:szCs w:val="24"/>
              </w:rPr>
              <w:t xml:space="preserve">microondas </w:t>
            </w:r>
            <w:r w:rsidR="00BD6146" w:rsidRPr="00891C49">
              <w:rPr>
                <w:rFonts w:ascii="Helvetica" w:hAnsi="Helvetica" w:cs="Helvetica"/>
                <w:sz w:val="24"/>
                <w:szCs w:val="24"/>
              </w:rPr>
              <w:t xml:space="preserve">y empleando agua como solvente con </w:t>
            </w:r>
            <w:r w:rsidRPr="00891C49">
              <w:rPr>
                <w:rFonts w:ascii="Helvetica" w:hAnsi="Helvetica" w:cs="Helvetica"/>
                <w:sz w:val="24"/>
                <w:szCs w:val="24"/>
              </w:rPr>
              <w:t>una potencia nominal de 407 W</w:t>
            </w:r>
            <w:r w:rsidR="00BD6146" w:rsidRPr="00891C49">
              <w:rPr>
                <w:rFonts w:ascii="Helvetica" w:hAnsi="Helvetica" w:cs="Helvetica"/>
                <w:sz w:val="24"/>
                <w:szCs w:val="24"/>
              </w:rPr>
              <w:t xml:space="preserve"> se logran extraer </w:t>
            </w:r>
            <w:r w:rsidRPr="00891C49">
              <w:rPr>
                <w:rFonts w:ascii="Helvetica" w:eastAsiaTheme="minorEastAsia" w:hAnsi="Helvetica" w:cs="Helvetica"/>
                <w:sz w:val="24"/>
                <w:szCs w:val="24"/>
              </w:rPr>
              <w:t xml:space="preserve">1.125 mg/g de ácido galo, 1.223 mg/g de ácido cafeico, 4.798 mg/g de ácido clorogénico, 1.157 mg/g de ácido p-cumarico, 5.582 mg/g de naringenina y 0.665 mg/g de naringin </w:t>
            </w:r>
            <w:r w:rsidRPr="00891C49">
              <w:rPr>
                <w:rFonts w:ascii="Helvetica" w:eastAsiaTheme="minorEastAsia" w:hAnsi="Helvetica" w:cs="Helvetica"/>
                <w:sz w:val="24"/>
                <w:szCs w:val="24"/>
              </w:rPr>
              <w:fldChar w:fldCharType="begin" w:fldLock="1"/>
            </w:r>
            <w:r w:rsidR="00B02898">
              <w:rPr>
                <w:rFonts w:ascii="Helvetica" w:eastAsiaTheme="minorEastAsia" w:hAnsi="Helvetica" w:cs="Helvetica"/>
                <w:sz w:val="24"/>
                <w:szCs w:val="24"/>
              </w:rPr>
              <w:instrText>ADDIN CSL_CITATION {"citationItems":[{"id":"ITEM-1","itemData":{"DOI":"10.1007/s13197-012-0828-3","ISSN":"09758402","abstract":"© 2012, Association of Food Scientists  &amp;  Technologists (India). In this study, extraction of phenolic compounds from nettle by microwave and ultrasound was studied. In both microwave and ultrasound-assisted extractions, effects of extraction time (5–20 min for microwave; 5–30 min for ultrasound) and solid to solvent ratio (1:10, 1:20, and 1:30 g/mL) on total phenolic content (TPC) were investigated. Effects of different powers (50 % and 80 %) were also studied for ultrasound-assisted extraction. In microwave-assisted extraction, the optimum TPC of the extracts (24.64 ± 2.36 mg GAE/g dry material) was obtained in 10 min and at 1:30 solid to solvent ratio. For ultrasound-assisted extraction, the condition that gave the highest TPC (23.86 ± 1.92 mg GAE/g dry material) was 30 min, 1:30 solid to solvent ratio, and 80 % power. Extracts obtained at the optimum conditions of microwave and ultrasound were compared in terms of TPC, antioxidant activity (AA) and concentration of phenolic acids with conventional extraction and maceration, respectively. Microwave reduced extraction time by 67 %. AA of extracts varied between 2.95 ± 0.01 and 4.48 ± 0.03 mg DPPH/g dry material among four methods. Major phenolic compounds were determined as naringenin and chlorogenic acid in nettle.","author":[{"dropping-particle":"","family":"Ince","given":"Alev Emine","non-dropping-particle":"","parse-names":false,"suffix":""},{"dropping-particle":"","family":"Sahin","given":"Serpil","non-dropping-particle":"","parse-names":false,"suffix":""},{"dropping-particle":"","family":"Sumnu","given":"Gulum","non-dropping-particle":"","parse-names":false,"suffix":""}],"container-title":"Journal of Food Science and Technology","id":"ITEM-1","issue":"10","issued":{"date-parts":[["2014"]]},"page":"2776-2782","title":"Comparison of microwave and ultrasound-assisted extraction techniques for leaching of phenolic compounds from nettle","type":"article-journal","volume":"51"},"uris":["http://www.mendeley.com/documents/?uuid=5118c5e9-4705-4db5-bc11-2dbb42a62920"]}],"mendeley":{"formattedCitation":"&lt;sup&gt;28&lt;/sup&gt;","plainTextFormattedCitation":"28","previouslyFormattedCitation":"&lt;sup&gt;27&lt;/sup&gt;"},"properties":{"noteIndex":0},"schema":"https://github.com/citation-style-language/schema/raw/master/csl-citation.json"}</w:instrText>
            </w:r>
            <w:r w:rsidRPr="00891C49">
              <w:rPr>
                <w:rFonts w:ascii="Helvetica" w:eastAsiaTheme="minorEastAsia" w:hAnsi="Helvetica" w:cs="Helvetica"/>
                <w:sz w:val="24"/>
                <w:szCs w:val="24"/>
              </w:rPr>
              <w:fldChar w:fldCharType="separate"/>
            </w:r>
            <w:r w:rsidR="00B02898" w:rsidRPr="00B02898">
              <w:rPr>
                <w:rFonts w:ascii="Helvetica" w:eastAsiaTheme="minorEastAsia" w:hAnsi="Helvetica" w:cs="Helvetica"/>
                <w:noProof/>
                <w:sz w:val="24"/>
                <w:szCs w:val="24"/>
                <w:vertAlign w:val="superscript"/>
              </w:rPr>
              <w:t>28</w:t>
            </w:r>
            <w:r w:rsidRPr="00891C49">
              <w:rPr>
                <w:rFonts w:ascii="Helvetica" w:eastAsiaTheme="minorEastAsia" w:hAnsi="Helvetica" w:cs="Helvetica"/>
                <w:sz w:val="24"/>
                <w:szCs w:val="24"/>
              </w:rPr>
              <w:fldChar w:fldCharType="end"/>
            </w:r>
            <w:r w:rsidRPr="00891C49">
              <w:rPr>
                <w:rFonts w:ascii="Helvetica" w:eastAsiaTheme="minorEastAsia" w:hAnsi="Helvetica" w:cs="Helvetica"/>
                <w:sz w:val="24"/>
                <w:szCs w:val="24"/>
              </w:rPr>
              <w:t>.</w:t>
            </w:r>
          </w:p>
          <w:p w14:paraId="3E27981F" w14:textId="353C7EF6" w:rsidR="00047770" w:rsidRPr="00891C49" w:rsidRDefault="00047770" w:rsidP="00047770">
            <w:pPr>
              <w:pStyle w:val="Prrafodelista"/>
              <w:numPr>
                <w:ilvl w:val="0"/>
                <w:numId w:val="4"/>
              </w:numPr>
              <w:jc w:val="both"/>
              <w:rPr>
                <w:rFonts w:ascii="Helvetica" w:hAnsi="Helvetica" w:cs="Helvetica"/>
                <w:sz w:val="24"/>
                <w:szCs w:val="24"/>
              </w:rPr>
            </w:pPr>
            <w:r w:rsidRPr="00891C49">
              <w:rPr>
                <w:rFonts w:ascii="Helvetica" w:hAnsi="Helvetica" w:cs="Helvetica"/>
                <w:b/>
                <w:bCs/>
                <w:sz w:val="24"/>
                <w:szCs w:val="24"/>
              </w:rPr>
              <w:t xml:space="preserve">Extracción </w:t>
            </w:r>
            <w:r w:rsidR="00BD6146" w:rsidRPr="00891C49">
              <w:rPr>
                <w:rFonts w:ascii="Helvetica" w:hAnsi="Helvetica" w:cs="Helvetica"/>
                <w:b/>
                <w:bCs/>
                <w:sz w:val="24"/>
                <w:szCs w:val="24"/>
              </w:rPr>
              <w:t xml:space="preserve">mediante </w:t>
            </w:r>
            <w:r w:rsidRPr="00891C49">
              <w:rPr>
                <w:rFonts w:ascii="Helvetica" w:hAnsi="Helvetica" w:cs="Helvetica"/>
                <w:b/>
                <w:bCs/>
                <w:sz w:val="24"/>
                <w:szCs w:val="24"/>
              </w:rPr>
              <w:t>centrifuga</w:t>
            </w:r>
            <w:r w:rsidR="00BD6146" w:rsidRPr="00891C49">
              <w:rPr>
                <w:rFonts w:ascii="Helvetica" w:hAnsi="Helvetica" w:cs="Helvetica"/>
                <w:b/>
                <w:bCs/>
                <w:sz w:val="24"/>
                <w:szCs w:val="24"/>
              </w:rPr>
              <w:t>ción</w:t>
            </w:r>
            <w:r w:rsidRPr="00891C49">
              <w:rPr>
                <w:rFonts w:ascii="Helvetica" w:hAnsi="Helvetica" w:cs="Helvetica"/>
                <w:sz w:val="24"/>
                <w:szCs w:val="24"/>
              </w:rPr>
              <w:t xml:space="preserve">: </w:t>
            </w:r>
            <w:r w:rsidR="00BD6146" w:rsidRPr="00891C49">
              <w:rPr>
                <w:rFonts w:ascii="Helvetica" w:hAnsi="Helvetica" w:cs="Helvetica"/>
                <w:sz w:val="24"/>
                <w:szCs w:val="24"/>
              </w:rPr>
              <w:t xml:space="preserve">Otra alternativa para la extracción es mediante el uso de centrifugación, empleando </w:t>
            </w:r>
            <w:r w:rsidRPr="00891C49">
              <w:rPr>
                <w:rFonts w:ascii="Helvetica" w:hAnsi="Helvetica" w:cs="Helvetica"/>
                <w:sz w:val="24"/>
                <w:szCs w:val="24"/>
              </w:rPr>
              <w:t xml:space="preserve">una mezcla 50:50 de agua destilada y etanol, </w:t>
            </w:r>
            <w:r w:rsidR="00BD6146" w:rsidRPr="00891C49">
              <w:rPr>
                <w:rFonts w:ascii="Helvetica" w:hAnsi="Helvetica" w:cs="Helvetica"/>
                <w:sz w:val="24"/>
                <w:szCs w:val="24"/>
              </w:rPr>
              <w:t xml:space="preserve">con una velocidad de giro de </w:t>
            </w:r>
            <w:r w:rsidRPr="00891C49">
              <w:rPr>
                <w:rFonts w:ascii="Helvetica" w:hAnsi="Helvetica" w:cs="Helvetica"/>
                <w:sz w:val="24"/>
                <w:szCs w:val="24"/>
              </w:rPr>
              <w:t>300 rpm por dos horas</w:t>
            </w:r>
            <w:r w:rsidRPr="00891C49">
              <w:rPr>
                <w:rFonts w:ascii="Helvetica" w:eastAsiaTheme="minorEastAsia" w:hAnsi="Helvetica" w:cs="Helvetica"/>
                <w:sz w:val="24"/>
                <w:szCs w:val="24"/>
              </w:rPr>
              <w:fldChar w:fldCharType="begin" w:fldLock="1"/>
            </w:r>
            <w:r w:rsidR="00B02898">
              <w:rPr>
                <w:rFonts w:ascii="Helvetica" w:eastAsiaTheme="minorEastAsia" w:hAnsi="Helvetica" w:cs="Helvetica"/>
                <w:sz w:val="24"/>
                <w:szCs w:val="24"/>
              </w:rPr>
              <w:instrText>ADDIN CSL_CITATION {"citationItems":[{"id":"ITEM-1","itemData":{"author":[{"dropping-particle":"","family":"Nencu","given":"Ioana","non-dropping-particle":"","parse-names":false,"suffix":""},{"dropping-particle":"","family":"Popescu","given":"Lidia Maria","non-dropping-particle":"","parse-names":false,"suffix":""},{"dropping-particle":"","family":"Istudor","given":"Viorica","non-dropping-particle":"","parse-names":false,"suffix":""},{"dropping-particle":"","family":"Costea","given":"Teodora","non-dropping-particle":"","parse-names":false,"suffix":""},{"dropping-particle":"","family":"U","given":"Ligia Elena D U Ţ","non-dropping-particle":"","parse-names":false,"suffix":""},{"dropping-particle":"","family":"Gîrd","given":"Cerasela Elena","non-dropping-particle":"","parse-names":false,"suffix":""}],"id":"ITEM-1","issued":{"date-parts":[["2017"]]},"title":"THE SELECTION OF TECHNOLOGICAL PARAMETERS IN ORDER TO OBTAIN AN EXTRACT WITH IMPORTANT ANTIOXIDANT ACTIVITY FROM STINGING NETTLE LEAVES","type":"article-journal","volume":"65"},"uris":["http://www.mendeley.com/documents/?uuid=2c8dd3e8-b984-47cd-9f5b-3080545f60b7"]}],"mendeley":{"formattedCitation":"&lt;sup&gt;30&lt;/sup&gt;","plainTextFormattedCitation":"30","previouslyFormattedCitation":"&lt;sup&gt;29&lt;/sup&gt;"},"properties":{"noteIndex":0},"schema":"https://github.com/citation-style-language/schema/raw/master/csl-citation.json"}</w:instrText>
            </w:r>
            <w:r w:rsidRPr="00891C49">
              <w:rPr>
                <w:rFonts w:ascii="Helvetica" w:eastAsiaTheme="minorEastAsia" w:hAnsi="Helvetica" w:cs="Helvetica"/>
                <w:sz w:val="24"/>
                <w:szCs w:val="24"/>
              </w:rPr>
              <w:fldChar w:fldCharType="separate"/>
            </w:r>
            <w:r w:rsidR="00B02898" w:rsidRPr="00B02898">
              <w:rPr>
                <w:rFonts w:ascii="Helvetica" w:eastAsiaTheme="minorEastAsia" w:hAnsi="Helvetica" w:cs="Helvetica"/>
                <w:noProof/>
                <w:sz w:val="24"/>
                <w:szCs w:val="24"/>
                <w:vertAlign w:val="superscript"/>
              </w:rPr>
              <w:t>30</w:t>
            </w:r>
            <w:r w:rsidRPr="00891C49">
              <w:rPr>
                <w:rFonts w:ascii="Helvetica" w:eastAsiaTheme="minorEastAsia" w:hAnsi="Helvetica" w:cs="Helvetica"/>
                <w:sz w:val="24"/>
                <w:szCs w:val="24"/>
              </w:rPr>
              <w:fldChar w:fldCharType="end"/>
            </w:r>
            <w:r w:rsidRPr="00891C49">
              <w:rPr>
                <w:rFonts w:ascii="Helvetica" w:eastAsiaTheme="minorEastAsia" w:hAnsi="Helvetica" w:cs="Helvetica"/>
                <w:sz w:val="24"/>
                <w:szCs w:val="24"/>
              </w:rPr>
              <w:t>.</w:t>
            </w:r>
          </w:p>
          <w:p w14:paraId="39F9BA65" w14:textId="2A56293C" w:rsidR="00D910C3" w:rsidRPr="00891C49" w:rsidRDefault="00D910C3" w:rsidP="00891C49">
            <w:pPr>
              <w:jc w:val="both"/>
              <w:rPr>
                <w:rFonts w:ascii="Helvetica" w:hAnsi="Helvetica" w:cs="Helvetica"/>
                <w:b/>
                <w:sz w:val="24"/>
                <w:szCs w:val="24"/>
              </w:rPr>
            </w:pPr>
            <w:r w:rsidRPr="00891C49">
              <w:rPr>
                <w:rFonts w:ascii="Helvetica" w:hAnsi="Helvetica" w:cs="Helvetica"/>
                <w:b/>
                <w:sz w:val="24"/>
                <w:szCs w:val="24"/>
              </w:rPr>
              <w:t>Agraz.</w:t>
            </w:r>
          </w:p>
          <w:p w14:paraId="5F0DED94" w14:textId="03AAB92F" w:rsidR="0044363A" w:rsidRDefault="00D910C3">
            <w:pPr>
              <w:spacing w:after="0" w:line="240" w:lineRule="auto"/>
              <w:jc w:val="both"/>
              <w:rPr>
                <w:rFonts w:ascii="Helvetica" w:hAnsi="Helvetica" w:cs="Helvetica"/>
                <w:color w:val="000000"/>
                <w:sz w:val="24"/>
                <w:szCs w:val="24"/>
                <w:shd w:val="clear" w:color="auto" w:fill="FFFFFF"/>
              </w:rPr>
            </w:pPr>
            <w:r w:rsidRPr="00891C49">
              <w:rPr>
                <w:rFonts w:ascii="Helvetica" w:hAnsi="Helvetica" w:cs="Helvetica"/>
                <w:sz w:val="24"/>
                <w:szCs w:val="24"/>
              </w:rPr>
              <w:t>El agraz (</w:t>
            </w:r>
            <w:r w:rsidRPr="00891C49">
              <w:rPr>
                <w:rFonts w:ascii="Helvetica" w:hAnsi="Helvetica" w:cs="Helvetica"/>
                <w:i/>
                <w:color w:val="000000"/>
                <w:sz w:val="24"/>
                <w:szCs w:val="24"/>
                <w:shd w:val="clear" w:color="auto" w:fill="FFFFFF"/>
              </w:rPr>
              <w:t>Vaccinium meridionale</w:t>
            </w:r>
            <w:r w:rsidRPr="00891C49">
              <w:rPr>
                <w:rFonts w:ascii="Helvetica" w:hAnsi="Helvetica" w:cs="Helvetica"/>
                <w:sz w:val="24"/>
                <w:szCs w:val="24"/>
              </w:rPr>
              <w:t>) es un fruto proveniente de un arbusto</w:t>
            </w:r>
            <w:r w:rsidR="002D6852" w:rsidRPr="00891C49">
              <w:rPr>
                <w:rFonts w:ascii="Helvetica" w:hAnsi="Helvetica" w:cs="Helvetica"/>
                <w:sz w:val="24"/>
                <w:szCs w:val="24"/>
              </w:rPr>
              <w:t xml:space="preserve"> y perteneciente a la familia </w:t>
            </w:r>
            <w:r w:rsidR="002D6852" w:rsidRPr="00891C49">
              <w:rPr>
                <w:rFonts w:ascii="Helvetica" w:hAnsi="Helvetica" w:cs="Helvetica"/>
                <w:i/>
                <w:sz w:val="24"/>
                <w:szCs w:val="24"/>
              </w:rPr>
              <w:t>Ericaceae</w:t>
            </w:r>
            <w:r w:rsidR="00CB333C">
              <w:rPr>
                <w:rFonts w:ascii="Helvetica" w:hAnsi="Helvetica" w:cs="Helvetica"/>
                <w:color w:val="000000"/>
                <w:sz w:val="24"/>
                <w:szCs w:val="24"/>
                <w:shd w:val="clear" w:color="auto" w:fill="FFFFFF"/>
              </w:rPr>
              <w:t>. E</w:t>
            </w:r>
            <w:r w:rsidRPr="00891C49">
              <w:rPr>
                <w:rFonts w:ascii="Helvetica" w:hAnsi="Helvetica" w:cs="Helvetica"/>
                <w:color w:val="000000"/>
                <w:sz w:val="24"/>
                <w:szCs w:val="24"/>
                <w:shd w:val="clear" w:color="auto" w:fill="FFFFFF"/>
              </w:rPr>
              <w:t xml:space="preserve">sta baya </w:t>
            </w:r>
            <w:r w:rsidR="0044363A">
              <w:rPr>
                <w:rFonts w:ascii="Helvetica" w:hAnsi="Helvetica" w:cs="Helvetica"/>
                <w:color w:val="000000"/>
                <w:sz w:val="24"/>
                <w:szCs w:val="24"/>
                <w:shd w:val="clear" w:color="auto" w:fill="FFFFFF"/>
              </w:rPr>
              <w:t xml:space="preserve">es nativa de Colombia y se </w:t>
            </w:r>
            <w:r w:rsidRPr="00891C49">
              <w:rPr>
                <w:rFonts w:ascii="Helvetica" w:hAnsi="Helvetica" w:cs="Helvetica"/>
                <w:color w:val="000000"/>
                <w:sz w:val="24"/>
                <w:szCs w:val="24"/>
                <w:shd w:val="clear" w:color="auto" w:fill="FFFFFF"/>
              </w:rPr>
              <w:t xml:space="preserve">cultiva </w:t>
            </w:r>
            <w:r w:rsidR="0044363A">
              <w:rPr>
                <w:rFonts w:ascii="Helvetica" w:hAnsi="Helvetica" w:cs="Helvetica"/>
                <w:color w:val="000000"/>
                <w:sz w:val="24"/>
                <w:szCs w:val="24"/>
                <w:shd w:val="clear" w:color="auto" w:fill="FFFFFF"/>
              </w:rPr>
              <w:t xml:space="preserve">también </w:t>
            </w:r>
            <w:r w:rsidRPr="00891C49">
              <w:rPr>
                <w:rFonts w:ascii="Helvetica" w:hAnsi="Helvetica" w:cs="Helvetica"/>
                <w:color w:val="000000"/>
                <w:sz w:val="24"/>
                <w:szCs w:val="24"/>
                <w:shd w:val="clear" w:color="auto" w:fill="FFFFFF"/>
              </w:rPr>
              <w:t>en países como Venezuela</w:t>
            </w:r>
            <w:r w:rsidR="0044363A">
              <w:rPr>
                <w:rFonts w:ascii="Helvetica" w:hAnsi="Helvetica" w:cs="Helvetica"/>
                <w:color w:val="000000"/>
                <w:sz w:val="24"/>
                <w:szCs w:val="24"/>
                <w:shd w:val="clear" w:color="auto" w:fill="FFFFFF"/>
              </w:rPr>
              <w:t xml:space="preserve"> y</w:t>
            </w:r>
            <w:r w:rsidRPr="00891C49">
              <w:rPr>
                <w:rFonts w:ascii="Helvetica" w:hAnsi="Helvetica" w:cs="Helvetica"/>
                <w:color w:val="000000"/>
                <w:sz w:val="24"/>
                <w:szCs w:val="24"/>
                <w:shd w:val="clear" w:color="auto" w:fill="FFFFFF"/>
              </w:rPr>
              <w:t xml:space="preserve"> Perú. </w:t>
            </w:r>
            <w:r w:rsidR="0044363A">
              <w:rPr>
                <w:rFonts w:ascii="Helvetica" w:hAnsi="Helvetica" w:cs="Helvetica"/>
                <w:color w:val="000000"/>
                <w:sz w:val="24"/>
                <w:szCs w:val="24"/>
                <w:shd w:val="clear" w:color="auto" w:fill="FFFFFF"/>
              </w:rPr>
              <w:t>Las condiciones adecuadas para el cultivo de agraz son altitudes entre los 2000 y los 3800 metros sobre el nivel del mar, lluvias entre los 958 y los 1350 mm por año; temperaturas entre los 13,5 y los 22,3º</w:t>
            </w:r>
            <w:r w:rsidR="00CB333C">
              <w:rPr>
                <w:rFonts w:ascii="Helvetica" w:hAnsi="Helvetica" w:cs="Helvetica"/>
                <w:color w:val="000000"/>
                <w:sz w:val="24"/>
                <w:szCs w:val="24"/>
                <w:shd w:val="clear" w:color="auto" w:fill="FFFFFF"/>
              </w:rPr>
              <w:t>C y pH de suelo entre 4,4 y 5,4</w:t>
            </w:r>
            <w:r w:rsidR="00CB333C">
              <w:rPr>
                <w:rFonts w:ascii="Helvetica" w:hAnsi="Helvetica" w:cs="Helvetica"/>
                <w:color w:val="000000"/>
                <w:sz w:val="24"/>
                <w:szCs w:val="24"/>
                <w:shd w:val="clear" w:color="auto" w:fill="FFFFFF"/>
              </w:rPr>
              <w:fldChar w:fldCharType="begin" w:fldLock="1"/>
            </w:r>
            <w:r w:rsidR="00B02898">
              <w:rPr>
                <w:rFonts w:ascii="Helvetica" w:hAnsi="Helvetica" w:cs="Helvetica"/>
                <w:color w:val="000000"/>
                <w:sz w:val="24"/>
                <w:szCs w:val="24"/>
                <w:shd w:val="clear" w:color="auto" w:fill="FFFFFF"/>
              </w:rPr>
              <w:instrText>ADDIN CSL_CITATION {"citationItems":[{"id":"ITEM-1","itemData":{"DOI":"10.1002/9781119158042.ch40","ISBN":"9781119158042","abstract":"This chapter presents the fruit, Andean berry (Vaccinium meridionale Swartz), with respect to its phytochemical content and the changes that occur due to ripening, storage, and processing into other edible forms of the fruit. In addition, it reports the findings on its biological activity, and considers research efforts into its consumption factors and human health benefits. The species of Vaccinium are being recognized as rich in phenolic compounds, particularly anthocyanins, whose phenolic structure is responsible for their antioxidant activity. This fruit possesses great marketing potential as a nutraceutical food or as fresh fruit; and it is a source of anthocyanins, natural antioxidants, and natural colors. These features make this berry a promising product for the development of the Andean agribusiness. This has motivated the study of the fruit's biological activity in the prevention of diseases associated with oxidative stress such as skin aging, cancer, and cardiovascular disease.","author":[{"dropping-particle":"","family":"Celis","given":"María Elena Maldonado","non-dropping-particle":"","parse-names":false,"suffix":""},{"dropping-particle":"","family":"Tobón","given":"Yuly Nataly Franco","non-dropping-particle":"","parse-names":false,"suffix":""},{"dropping-particle":"","family":"Agudeio","given":"Carlos","non-dropping-particle":"","parse-names":false,"suffix":""},{"dropping-particle":"","family":"Arango","given":"Sandra Sulay","non-dropping-particle":"","parse-names":false,"suffix":""},{"dropping-particle":"","family":"Rojano","given":"Benjamin","non-dropping-particle":"","parse-names":false,"suffix":""}],"chapter-number":"40","container-title":"Fruit and Vegetable Phytochemicals: Chemistry and Human Health: Second Edition","id":"ITEM-1","issue":"November","issued":{"date-parts":[["2017"]]},"page":"869-881","title":"Andean berry (vaccinium meridionale swartz)","type":"chapter","volume":"2"},"uris":["http://www.mendeley.com/documents/?uuid=afeff6c5-682c-4f58-9a26-7090816c5f19","http://www.mendeley.com/documents/?uuid=863e9365-558e-40b0-bd29-fb05f55d57ca","http://www.mendeley.com/documents/?uuid=8d434ac3-2acd-4323-b59c-56fb0e20570d"]}],"mendeley":{"formattedCitation":"&lt;sup&gt;31&lt;/sup&gt;","plainTextFormattedCitation":"31","previouslyFormattedCitation":"&lt;sup&gt;30&lt;/sup&gt;"},"properties":{"noteIndex":0},"schema":"https://github.com/citation-style-language/schema/raw/master/csl-citation.json"}</w:instrText>
            </w:r>
            <w:r w:rsidR="00CB333C">
              <w:rPr>
                <w:rFonts w:ascii="Helvetica" w:hAnsi="Helvetica" w:cs="Helvetica"/>
                <w:color w:val="000000"/>
                <w:sz w:val="24"/>
                <w:szCs w:val="24"/>
                <w:shd w:val="clear" w:color="auto" w:fill="FFFFFF"/>
              </w:rPr>
              <w:fldChar w:fldCharType="separate"/>
            </w:r>
            <w:r w:rsidR="00B02898" w:rsidRPr="00B02898">
              <w:rPr>
                <w:rFonts w:ascii="Helvetica" w:hAnsi="Helvetica" w:cs="Helvetica"/>
                <w:noProof/>
                <w:color w:val="000000"/>
                <w:sz w:val="24"/>
                <w:szCs w:val="24"/>
                <w:shd w:val="clear" w:color="auto" w:fill="FFFFFF"/>
                <w:vertAlign w:val="superscript"/>
              </w:rPr>
              <w:t>31</w:t>
            </w:r>
            <w:r w:rsidR="00CB333C">
              <w:rPr>
                <w:rFonts w:ascii="Helvetica" w:hAnsi="Helvetica" w:cs="Helvetica"/>
                <w:color w:val="000000"/>
                <w:sz w:val="24"/>
                <w:szCs w:val="24"/>
                <w:shd w:val="clear" w:color="auto" w:fill="FFFFFF"/>
              </w:rPr>
              <w:fldChar w:fldCharType="end"/>
            </w:r>
            <w:r w:rsidR="00CB333C">
              <w:rPr>
                <w:rFonts w:ascii="Helvetica" w:hAnsi="Helvetica" w:cs="Helvetica"/>
                <w:color w:val="000000"/>
                <w:sz w:val="24"/>
                <w:szCs w:val="24"/>
                <w:shd w:val="clear" w:color="auto" w:fill="FFFFFF"/>
              </w:rPr>
              <w:t>. En estas condiciones, los departamentos colombianos que se destacan por el mayor número de reportes de crecimiento de agraz son Boyacá, Cundinamarca y Antioquia</w:t>
            </w:r>
            <w:r w:rsidR="00CB333C">
              <w:rPr>
                <w:rFonts w:ascii="Helvetica" w:hAnsi="Helvetica" w:cs="Helvetica"/>
                <w:color w:val="000000"/>
                <w:sz w:val="24"/>
                <w:szCs w:val="24"/>
                <w:shd w:val="clear" w:color="auto" w:fill="FFFFFF"/>
              </w:rPr>
              <w:fldChar w:fldCharType="begin" w:fldLock="1"/>
            </w:r>
            <w:r w:rsidR="00B02898">
              <w:rPr>
                <w:rFonts w:ascii="Helvetica" w:hAnsi="Helvetica" w:cs="Helvetica"/>
                <w:color w:val="000000"/>
                <w:sz w:val="24"/>
                <w:szCs w:val="24"/>
                <w:shd w:val="clear" w:color="auto" w:fill="FFFFFF"/>
              </w:rPr>
              <w:instrText>ADDIN CSL_CITATION {"citationItems":[{"id":"ITEM-1","itemData":{"abstract":"Técnicas como la espectroscopia NIR pueden ser de gran utilidad para determinar parámetros de calidad en frutas de manera sencilla, rápida y económica con buena precisión. El objetivo de esta investigación fue determinar los parámetros de calidad físicos y químicos de agraz, mediante espectroscopía en el infrarrojo cercano (NIR). Se trabajó con agraz proveniente del Municipio de San Miguel de Sema (Boyacá - Colombia), cosechado en estado de madurez 3. Se usaron 500 muestras de agraz y durante el periodo de almacenamiento se monitoreó firmeza, peso, color, SST, AT, pH, RM y pérdida de peso. Para la calibración de los modelos de regresión se usó la metodología de mínimos cuadrados parciales (PLSR) y para los modelos de clasificación se empleó el análisis de componentes principales (PCA) y la metodología SIMCA, en todos se realizó una validación cruzada. El set de calibración correspondía al 75% de muestras y el 25% restante a las muestras del set de validación externa. Se obtuvieron modelos con alta representatividad para firmeza, peso y pH, de calidad aceptable para las coordenadas a* y b*, para el resto de parámetros los modelos obtenidos fueron de baja capacidad predictiva. Fue posible clasificar muestras de agraz entre los estados de madurez 4 y 5 con precisión cercana a 100% y en estado 3 con 90%. Los resultados encontrados indican que la técnica NIR resulta ser adecuada para sustituir técnicas de laboratorio para algunos parámetros de calidad de agraz al menos como un primer acercamiento a esta tecnología.","author":[{"dropping-particle":"","family":"Forero Cabrera","given":"Nathalia María","non-dropping-particle":"","parse-names":false,"suffix":""}],"id":"ITEM-1","issued":{"date-parts":[["2017"]]},"number-of-pages":"121","publisher":"Universidad Nacional de Colombia","title":"Evaluación de parámetros de calidad físicos y químicos en agraz (Vaccinium meridionale Swartz) con el uso de espectroscopía de infrarrojo cercano – NIR.","type":"thesis"},"uris":["http://www.mendeley.com/documents/?uuid=71b159fc-f758-4fc7-8133-bc154b1233c8","http://www.mendeley.com/documents/?uuid=26cb5195-7597-4997-b7ac-46b74c434e2a","http://www.mendeley.com/documents/?uuid=a55640da-5487-4c05-8432-0cc4be788471"]}],"mendeley":{"formattedCitation":"&lt;sup&gt;32&lt;/sup&gt;","plainTextFormattedCitation":"32","previouslyFormattedCitation":"&lt;sup&gt;31&lt;/sup&gt;"},"properties":{"noteIndex":0},"schema":"https://github.com/citation-style-language/schema/raw/master/csl-citation.json"}</w:instrText>
            </w:r>
            <w:r w:rsidR="00CB333C">
              <w:rPr>
                <w:rFonts w:ascii="Helvetica" w:hAnsi="Helvetica" w:cs="Helvetica"/>
                <w:color w:val="000000"/>
                <w:sz w:val="24"/>
                <w:szCs w:val="24"/>
                <w:shd w:val="clear" w:color="auto" w:fill="FFFFFF"/>
              </w:rPr>
              <w:fldChar w:fldCharType="separate"/>
            </w:r>
            <w:r w:rsidR="00B02898" w:rsidRPr="00B02898">
              <w:rPr>
                <w:rFonts w:ascii="Helvetica" w:hAnsi="Helvetica" w:cs="Helvetica"/>
                <w:noProof/>
                <w:color w:val="000000"/>
                <w:sz w:val="24"/>
                <w:szCs w:val="24"/>
                <w:shd w:val="clear" w:color="auto" w:fill="FFFFFF"/>
                <w:vertAlign w:val="superscript"/>
              </w:rPr>
              <w:t>32</w:t>
            </w:r>
            <w:r w:rsidR="00CB333C">
              <w:rPr>
                <w:rFonts w:ascii="Helvetica" w:hAnsi="Helvetica" w:cs="Helvetica"/>
                <w:color w:val="000000"/>
                <w:sz w:val="24"/>
                <w:szCs w:val="24"/>
                <w:shd w:val="clear" w:color="auto" w:fill="FFFFFF"/>
              </w:rPr>
              <w:fldChar w:fldCharType="end"/>
            </w:r>
            <w:r w:rsidR="00CB333C">
              <w:rPr>
                <w:rFonts w:ascii="Helvetica" w:hAnsi="Helvetica" w:cs="Helvetica"/>
                <w:color w:val="000000"/>
                <w:sz w:val="24"/>
                <w:szCs w:val="24"/>
                <w:shd w:val="clear" w:color="auto" w:fill="FFFFFF"/>
              </w:rPr>
              <w:t>.</w:t>
            </w:r>
            <w:r w:rsidR="00BD59EF">
              <w:rPr>
                <w:rFonts w:ascii="Helvetica" w:hAnsi="Helvetica" w:cs="Helvetica"/>
                <w:color w:val="000000"/>
                <w:sz w:val="24"/>
                <w:szCs w:val="24"/>
                <w:shd w:val="clear" w:color="auto" w:fill="FFFFFF"/>
              </w:rPr>
              <w:t xml:space="preserve"> Para el año 2017, en Colombia se cultivó agraz en una extensión de 307,7 Ha, para una producción total de 2066,9 toneladas; consolidando un crecimiento sostenido desde 2013 equivalente al 156%</w:t>
            </w:r>
            <w:r w:rsidR="00BD59EF">
              <w:rPr>
                <w:rFonts w:ascii="Helvetica" w:hAnsi="Helvetica" w:cs="Helvetica"/>
                <w:color w:val="000000"/>
                <w:sz w:val="24"/>
                <w:szCs w:val="24"/>
                <w:shd w:val="clear" w:color="auto" w:fill="FFFFFF"/>
              </w:rPr>
              <w:fldChar w:fldCharType="begin" w:fldLock="1"/>
            </w:r>
            <w:r w:rsidR="00B02898">
              <w:rPr>
                <w:rFonts w:ascii="Helvetica" w:hAnsi="Helvetica" w:cs="Helvetica"/>
                <w:color w:val="000000"/>
                <w:sz w:val="24"/>
                <w:szCs w:val="24"/>
                <w:shd w:val="clear" w:color="auto" w:fill="FFFFFF"/>
              </w:rPr>
              <w:instrText>ADDIN CSL_CITATION {"citationItems":[{"id":"ITEM-1","itemData":{"author":[{"dropping-particle":"","family":"Ministerio de Agricultura y Desarrollo Rural","given":"","non-dropping-particle":"","parse-names":false,"suffix":""}],"container-title":"Agronet","id":"ITEM-1","issued":{"date-parts":[["2019"]]},"title":"Reporte: Área, Producción y Rendimiento Nacional por Cultivo","type":"webpage"},"uris":["http://www.mendeley.com/documents/?uuid=9c42f7b4-2a97-4a5c-a6e2-44c0cfd72c6c","http://www.mendeley.com/documents/?uuid=cba3ff04-a2c4-4781-8dc6-e0689f8bed14","http://www.mendeley.com/documents/?uuid=02099ee8-f446-49bb-b9dd-8b28a625f037"]}],"mendeley":{"formattedCitation":"&lt;sup&gt;33&lt;/sup&gt;","plainTextFormattedCitation":"33","previouslyFormattedCitation":"&lt;sup&gt;32&lt;/sup&gt;"},"properties":{"noteIndex":0},"schema":"https://github.com/citation-style-language/schema/raw/master/csl-citation.json"}</w:instrText>
            </w:r>
            <w:r w:rsidR="00BD59EF">
              <w:rPr>
                <w:rFonts w:ascii="Helvetica" w:hAnsi="Helvetica" w:cs="Helvetica"/>
                <w:color w:val="000000"/>
                <w:sz w:val="24"/>
                <w:szCs w:val="24"/>
                <w:shd w:val="clear" w:color="auto" w:fill="FFFFFF"/>
              </w:rPr>
              <w:fldChar w:fldCharType="separate"/>
            </w:r>
            <w:r w:rsidR="00B02898" w:rsidRPr="00B02898">
              <w:rPr>
                <w:rFonts w:ascii="Helvetica" w:hAnsi="Helvetica" w:cs="Helvetica"/>
                <w:noProof/>
                <w:color w:val="000000"/>
                <w:sz w:val="24"/>
                <w:szCs w:val="24"/>
                <w:shd w:val="clear" w:color="auto" w:fill="FFFFFF"/>
                <w:vertAlign w:val="superscript"/>
              </w:rPr>
              <w:t>33</w:t>
            </w:r>
            <w:r w:rsidR="00BD59EF">
              <w:rPr>
                <w:rFonts w:ascii="Helvetica" w:hAnsi="Helvetica" w:cs="Helvetica"/>
                <w:color w:val="000000"/>
                <w:sz w:val="24"/>
                <w:szCs w:val="24"/>
                <w:shd w:val="clear" w:color="auto" w:fill="FFFFFF"/>
              </w:rPr>
              <w:fldChar w:fldCharType="end"/>
            </w:r>
            <w:r w:rsidR="00BD59EF">
              <w:rPr>
                <w:rFonts w:ascii="Helvetica" w:hAnsi="Helvetica" w:cs="Helvetica"/>
                <w:color w:val="000000"/>
                <w:sz w:val="24"/>
                <w:szCs w:val="24"/>
                <w:shd w:val="clear" w:color="auto" w:fill="FFFFFF"/>
              </w:rPr>
              <w:t>.</w:t>
            </w:r>
          </w:p>
          <w:p w14:paraId="2599AF20" w14:textId="77777777" w:rsidR="0044363A" w:rsidRDefault="0044363A">
            <w:pPr>
              <w:spacing w:after="0" w:line="240" w:lineRule="auto"/>
              <w:jc w:val="both"/>
              <w:rPr>
                <w:rFonts w:ascii="Helvetica" w:hAnsi="Helvetica" w:cs="Helvetica"/>
                <w:color w:val="000000"/>
                <w:sz w:val="24"/>
                <w:szCs w:val="24"/>
                <w:shd w:val="clear" w:color="auto" w:fill="FFFFFF"/>
              </w:rPr>
            </w:pPr>
          </w:p>
          <w:p w14:paraId="7B999AD6" w14:textId="2CA694AD" w:rsidR="00E6008D" w:rsidRPr="00891C49" w:rsidRDefault="00D910C3">
            <w:pPr>
              <w:spacing w:after="0" w:line="240" w:lineRule="auto"/>
              <w:jc w:val="both"/>
              <w:rPr>
                <w:rFonts w:ascii="Helvetica" w:hAnsi="Helvetica" w:cs="Helvetica"/>
                <w:sz w:val="24"/>
                <w:szCs w:val="24"/>
              </w:rPr>
            </w:pPr>
            <w:r w:rsidRPr="00891C49">
              <w:rPr>
                <w:rFonts w:ascii="Helvetica" w:hAnsi="Helvetica" w:cs="Helvetica"/>
                <w:color w:val="000000"/>
                <w:sz w:val="24"/>
                <w:szCs w:val="24"/>
                <w:shd w:val="clear" w:color="auto" w:fill="FFFFFF"/>
              </w:rPr>
              <w:t>En los últimos años</w:t>
            </w:r>
            <w:r w:rsidR="002D6852" w:rsidRPr="00891C49">
              <w:rPr>
                <w:rFonts w:ascii="Helvetica" w:hAnsi="Helvetica" w:cs="Helvetica"/>
                <w:color w:val="000000"/>
                <w:sz w:val="24"/>
                <w:szCs w:val="24"/>
                <w:shd w:val="clear" w:color="auto" w:fill="FFFFFF"/>
              </w:rPr>
              <w:t>, se ha despertado un importante interés tanto por su alto consumo doméstico</w:t>
            </w:r>
            <w:r w:rsidR="0044363A">
              <w:rPr>
                <w:rFonts w:ascii="Helvetica" w:hAnsi="Helvetica" w:cs="Helvetica"/>
                <w:color w:val="000000"/>
                <w:sz w:val="24"/>
                <w:szCs w:val="24"/>
                <w:shd w:val="clear" w:color="auto" w:fill="FFFFFF"/>
              </w:rPr>
              <w:t>, dado que desde 2006 está incluida en el listados de las especies aceptadas para compra en los Estados Unidos;</w:t>
            </w:r>
            <w:r w:rsidR="002D6852" w:rsidRPr="00891C49">
              <w:rPr>
                <w:rFonts w:ascii="Helvetica" w:hAnsi="Helvetica" w:cs="Helvetica"/>
                <w:color w:val="000000"/>
                <w:sz w:val="24"/>
                <w:szCs w:val="24"/>
                <w:shd w:val="clear" w:color="auto" w:fill="FFFFFF"/>
              </w:rPr>
              <w:t xml:space="preserve"> como por el carácter promisorio de sus derivados, asociados particularmente a sus altos c</w:t>
            </w:r>
            <w:r w:rsidRPr="00891C49">
              <w:rPr>
                <w:rFonts w:ascii="Helvetica" w:hAnsi="Helvetica" w:cs="Helvetica"/>
                <w:color w:val="000000"/>
                <w:sz w:val="24"/>
                <w:szCs w:val="24"/>
                <w:shd w:val="clear" w:color="auto" w:fill="FFFFFF"/>
              </w:rPr>
              <w:t>ontenido</w:t>
            </w:r>
            <w:r w:rsidR="002D6852" w:rsidRPr="00891C49">
              <w:rPr>
                <w:rFonts w:ascii="Helvetica" w:hAnsi="Helvetica" w:cs="Helvetica"/>
                <w:color w:val="000000"/>
                <w:sz w:val="24"/>
                <w:szCs w:val="24"/>
                <w:shd w:val="clear" w:color="auto" w:fill="FFFFFF"/>
              </w:rPr>
              <w:t>s</w:t>
            </w:r>
            <w:r w:rsidRPr="00891C49">
              <w:rPr>
                <w:rFonts w:ascii="Helvetica" w:hAnsi="Helvetica" w:cs="Helvetica"/>
                <w:color w:val="000000"/>
                <w:sz w:val="24"/>
                <w:szCs w:val="24"/>
                <w:shd w:val="clear" w:color="auto" w:fill="FFFFFF"/>
              </w:rPr>
              <w:t xml:space="preserve"> de antocianinas y fenoles. </w:t>
            </w:r>
            <w:r w:rsidRPr="00891C49">
              <w:rPr>
                <w:rFonts w:ascii="Helvetica" w:hAnsi="Helvetica" w:cs="Helvetica"/>
                <w:sz w:val="24"/>
                <w:szCs w:val="24"/>
              </w:rPr>
              <w:t xml:space="preserve">El contenido de antocianina reportado es de 329 mg de cianidina equivalentes de 3-glucósidos por cada 100 g de muestra y </w:t>
            </w:r>
            <w:r w:rsidR="000C1600" w:rsidRPr="00891C49">
              <w:rPr>
                <w:rFonts w:ascii="Helvetica" w:hAnsi="Helvetica" w:cs="Helvetica"/>
                <w:sz w:val="24"/>
                <w:szCs w:val="24"/>
              </w:rPr>
              <w:t xml:space="preserve">con un </w:t>
            </w:r>
            <w:r w:rsidRPr="00891C49">
              <w:rPr>
                <w:rFonts w:ascii="Helvetica" w:hAnsi="Helvetica" w:cs="Helvetica"/>
                <w:sz w:val="24"/>
                <w:szCs w:val="24"/>
              </w:rPr>
              <w:t>contenido fenólico total fue de 758.6</w:t>
            </w:r>
            <w:r w:rsidR="000C1600" w:rsidRPr="00891C49">
              <w:rPr>
                <w:rFonts w:ascii="Helvetica" w:hAnsi="Helvetica" w:cs="Helvetica"/>
                <w:sz w:val="24"/>
                <w:szCs w:val="24"/>
              </w:rPr>
              <w:t xml:space="preserve"> </w:t>
            </w:r>
            <w:r w:rsidRPr="00891C49">
              <w:rPr>
                <w:rFonts w:ascii="Helvetica" w:hAnsi="Helvetica" w:cs="Helvetica"/>
                <w:sz w:val="24"/>
                <w:szCs w:val="24"/>
              </w:rPr>
              <w:t>mg de ácido gálico equivalente</w:t>
            </w:r>
            <w:r w:rsidR="000C1600" w:rsidRPr="00891C49">
              <w:rPr>
                <w:rFonts w:ascii="Helvetica" w:hAnsi="Helvetica" w:cs="Helvetica"/>
                <w:sz w:val="24"/>
                <w:szCs w:val="24"/>
              </w:rPr>
              <w:t xml:space="preserve"> por cada 100 g de muestra</w:t>
            </w:r>
            <w:r w:rsidRPr="00891C49">
              <w:rPr>
                <w:rFonts w:ascii="Helvetica" w:hAnsi="Helvetica" w:cs="Helvetica"/>
                <w:sz w:val="24"/>
                <w:szCs w:val="24"/>
              </w:rPr>
              <w:fldChar w:fldCharType="begin" w:fldLock="1"/>
            </w:r>
            <w:r w:rsidR="00B02898">
              <w:rPr>
                <w:rFonts w:ascii="Helvetica" w:hAnsi="Helvetica" w:cs="Helvetica"/>
                <w:sz w:val="24"/>
                <w:szCs w:val="24"/>
              </w:rPr>
              <w:instrText>ADDIN CSL_CITATION {"citationItems":[{"id":"ITEM-1","itemData":{"DOI":"10.1016/J.FOODCHEM.2010.03.017","ISSN":"0308-8146","abstract":"Berries of Vaccinium meridionale Swartz native to Colombia were analysed for chemical composition, total phenolic content, anthocyanin content, and antioxidant activity. In addition, high-performance liquid chromatography with photodiode array detection (HPLC–DAD) and HPLC-electrospray ionisation tandem mass spectrometry (ESI–MS/MS) were used to determine anthocyanin and phenolic composition. Anthocyanin content was 329.0±28.0mg cyanidin 3-glucoside equivalents/100g (fresh weight) FW and total phenolic content was 758.6±62.3mg gallic acid equivalent/100gFW. Cyanidin 3-galactoside was the major anthocyanin while the most abundant non-anthocyanin phenolic was chlorogenic acid. The ABTS radical scavenging activity was 45.5±2.3μmol Trolox equivalents/g FW and the ferric reducing antioxidant potential (FRAP) value was 87.0±17.8μmol TE/gFW or 116.0±23.7μmol ferric iron reduced/g FW. The unique anthocyanin composition of this fruit, as identified by classical techniques and ESI–MS/MS, can be differentiated from other bilberries and perhaps useful in authentification procedures. Overall, results from this study show that the fruit from Colombian wild bilberry has high antioxidant activity and potential applications as a source of phytochemicals in the nutraceutical and functional food market.","author":[{"dropping-particle":"","family":"Garzón","given":"G.A.","non-dropping-particle":"","parse-names":false,"suffix":""},{"dropping-particle":"","family":"Narváez","given":"C.E.","non-dropping-particle":"","parse-names":false,"suffix":""},{"dropping-particle":"","family":"Riedl","given":"K.M.","non-dropping-particle":"","parse-names":false,"suffix":""},{"dropping-particle":"","family":"Schwartz","given":"S.J.","non-dropping-particle":"","parse-names":false,"suffix":""}],"container-title":"Food Chemistry","id":"ITEM-1","issue":"4","issued":{"date-parts":[["2010","10"]]},"page":"980-986","publisher":"Elsevier","title":"Chemical composition, anthocyanins, non-anthocyanin phenolics and antioxidant activity of wild bilberry (Vaccinium meridionale Swartz) from Colombia","type":"article-journal","volume":"122"},"uris":["http://www.mendeley.com/documents/?uuid=13cf3583-e8cc-3705-90a8-062c66f4adcf","http://www.mendeley.com/documents/?uuid=acadbc8b-b727-46c9-992a-516dd2357fc6","http://www.mendeley.com/documents/?uuid=f3e1e952-da8c-49b9-9ff8-7cf3697e8ed9","http://www.mendeley.com/documents/?uuid=2bee623a-2c85-468b-9e89-ab29924695a5"]}],"mendeley":{"formattedCitation":"&lt;sup&gt;34&lt;/sup&gt;","plainTextFormattedCitation":"34","previouslyFormattedCitation":"&lt;sup&gt;33&lt;/sup&gt;"},"properties":{"noteIndex":0},"schema":"https://github.com/citation-style-language/schema/raw/master/csl-citation.json"}</w:instrText>
            </w:r>
            <w:r w:rsidRPr="00891C49">
              <w:rPr>
                <w:rFonts w:ascii="Helvetica" w:hAnsi="Helvetica" w:cs="Helvetica"/>
                <w:sz w:val="24"/>
                <w:szCs w:val="24"/>
              </w:rPr>
              <w:fldChar w:fldCharType="separate"/>
            </w:r>
            <w:r w:rsidR="00B02898" w:rsidRPr="00B02898">
              <w:rPr>
                <w:rFonts w:ascii="Helvetica" w:hAnsi="Helvetica" w:cs="Helvetica"/>
                <w:noProof/>
                <w:sz w:val="24"/>
                <w:szCs w:val="24"/>
                <w:vertAlign w:val="superscript"/>
              </w:rPr>
              <w:t>34</w:t>
            </w:r>
            <w:r w:rsidRPr="00891C49">
              <w:rPr>
                <w:rFonts w:ascii="Helvetica" w:hAnsi="Helvetica" w:cs="Helvetica"/>
                <w:sz w:val="24"/>
                <w:szCs w:val="24"/>
              </w:rPr>
              <w:fldChar w:fldCharType="end"/>
            </w:r>
            <w:r w:rsidRPr="00891C49">
              <w:rPr>
                <w:rFonts w:ascii="Helvetica" w:hAnsi="Helvetica" w:cs="Helvetica"/>
                <w:sz w:val="24"/>
                <w:szCs w:val="24"/>
              </w:rPr>
              <w:t>.</w:t>
            </w:r>
          </w:p>
          <w:p w14:paraId="025CDDF1" w14:textId="77777777" w:rsidR="000C1600" w:rsidRPr="00891C49" w:rsidRDefault="000C1600">
            <w:pPr>
              <w:spacing w:after="0" w:line="240" w:lineRule="auto"/>
              <w:jc w:val="both"/>
              <w:rPr>
                <w:rFonts w:ascii="Helvetica" w:hAnsi="Helvetica" w:cs="Helvetica"/>
                <w:sz w:val="24"/>
                <w:szCs w:val="24"/>
              </w:rPr>
            </w:pPr>
          </w:p>
          <w:p w14:paraId="0AA71B68" w14:textId="62239F7E" w:rsidR="0002400D" w:rsidRPr="00891C49" w:rsidRDefault="000C1600" w:rsidP="00891C49">
            <w:pPr>
              <w:spacing w:after="0" w:line="240" w:lineRule="auto"/>
              <w:jc w:val="both"/>
              <w:rPr>
                <w:rFonts w:ascii="Helvetica" w:hAnsi="Helvetica" w:cs="Helvetica"/>
                <w:sz w:val="24"/>
                <w:szCs w:val="24"/>
                <w:shd w:val="clear" w:color="auto" w:fill="FFFFFF"/>
              </w:rPr>
            </w:pPr>
            <w:r w:rsidRPr="00891C49">
              <w:rPr>
                <w:rFonts w:ascii="Helvetica" w:hAnsi="Helvetica" w:cs="Helvetica"/>
                <w:sz w:val="24"/>
                <w:szCs w:val="24"/>
              </w:rPr>
              <w:t>El efecto antioxidante</w:t>
            </w:r>
            <w:r w:rsidR="003258A2" w:rsidRPr="00891C49">
              <w:rPr>
                <w:rFonts w:ascii="Helvetica" w:hAnsi="Helvetica" w:cs="Helvetica"/>
                <w:sz w:val="24"/>
                <w:szCs w:val="24"/>
              </w:rPr>
              <w:t xml:space="preserve"> y protector de los extractos de agraz</w:t>
            </w:r>
            <w:r w:rsidRPr="00891C49">
              <w:rPr>
                <w:rFonts w:ascii="Helvetica" w:hAnsi="Helvetica" w:cs="Helvetica"/>
                <w:sz w:val="24"/>
                <w:szCs w:val="24"/>
              </w:rPr>
              <w:t xml:space="preserve"> ha sido evaluado en </w:t>
            </w:r>
            <w:r w:rsidR="001F7991" w:rsidRPr="00891C49">
              <w:rPr>
                <w:rFonts w:ascii="Helvetica" w:hAnsi="Helvetica" w:cs="Helvetica"/>
                <w:sz w:val="24"/>
                <w:szCs w:val="24"/>
              </w:rPr>
              <w:t>distintos campos y aplicaciones</w:t>
            </w:r>
            <w:r w:rsidRPr="00891C49">
              <w:rPr>
                <w:rFonts w:ascii="Helvetica" w:hAnsi="Helvetica" w:cs="Helvetica"/>
                <w:sz w:val="24"/>
                <w:szCs w:val="24"/>
              </w:rPr>
              <w:t xml:space="preserve">. </w:t>
            </w:r>
            <w:r w:rsidR="001F7991" w:rsidRPr="00891C49">
              <w:rPr>
                <w:rFonts w:ascii="Helvetica" w:hAnsi="Helvetica" w:cs="Helvetica"/>
                <w:sz w:val="24"/>
                <w:szCs w:val="24"/>
              </w:rPr>
              <w:t>P</w:t>
            </w:r>
            <w:r w:rsidRPr="00891C49">
              <w:rPr>
                <w:rFonts w:ascii="Helvetica" w:hAnsi="Helvetica" w:cs="Helvetica"/>
                <w:sz w:val="24"/>
                <w:szCs w:val="24"/>
              </w:rPr>
              <w:t>or ejemplo</w:t>
            </w:r>
            <w:r w:rsidR="003258A2" w:rsidRPr="00891C49">
              <w:rPr>
                <w:rFonts w:ascii="Helvetica" w:hAnsi="Helvetica" w:cs="Helvetica"/>
                <w:sz w:val="24"/>
                <w:szCs w:val="24"/>
              </w:rPr>
              <w:t xml:space="preserve">, </w:t>
            </w:r>
            <w:r w:rsidR="0002400D" w:rsidRPr="00891C49">
              <w:rPr>
                <w:rFonts w:ascii="Helvetica" w:hAnsi="Helvetica" w:cs="Helvetica"/>
                <w:sz w:val="24"/>
                <w:szCs w:val="24"/>
              </w:rPr>
              <w:t xml:space="preserve">para la industria de alimentos, se ha demostrado que </w:t>
            </w:r>
            <w:r w:rsidRPr="00891C49">
              <w:rPr>
                <w:rFonts w:ascii="Helvetica" w:hAnsi="Helvetica" w:cs="Helvetica"/>
                <w:sz w:val="24"/>
                <w:szCs w:val="24"/>
              </w:rPr>
              <w:t>retarda la oxidación de la grasa de</w:t>
            </w:r>
            <w:r w:rsidRPr="00891C49">
              <w:rPr>
                <w:rFonts w:ascii="Helvetica" w:hAnsi="Helvetica" w:cs="Helvetica"/>
                <w:sz w:val="24"/>
                <w:szCs w:val="24"/>
                <w:shd w:val="clear" w:color="auto" w:fill="FFFFFF"/>
              </w:rPr>
              <w:t xml:space="preserve"> hamburguesa</w:t>
            </w:r>
            <w:r w:rsidRPr="00891C49">
              <w:rPr>
                <w:rFonts w:ascii="Helvetica" w:hAnsi="Helvetica" w:cs="Helvetica"/>
                <w:sz w:val="24"/>
                <w:szCs w:val="24"/>
                <w:shd w:val="clear" w:color="auto" w:fill="FFFFFF"/>
              </w:rPr>
              <w:fldChar w:fldCharType="begin" w:fldLock="1"/>
            </w:r>
            <w:r w:rsidR="00B02898">
              <w:rPr>
                <w:rFonts w:ascii="Helvetica" w:hAnsi="Helvetica" w:cs="Helvetica"/>
                <w:sz w:val="24"/>
                <w:szCs w:val="24"/>
                <w:shd w:val="clear" w:color="auto" w:fill="FFFFFF"/>
              </w:rPr>
              <w:instrText>ADDIN CSL_CITATION {"citationItems":[{"id":"ITEM-1","itemData":{"DOI":"10.1002/jsfa.8483","ISSN":"10970010","abstract":"© 2017 Society of Chemical Industry BACKGROUND: Vaccinium meridionale Swartz (mortiño) constitutes a source of bioactive phytochemicals, but reports related to its efficient and green production are scarce. In this study, pressurized liquid extraction (PLE) and ultrasound-assisted extraction of mortiño were compared. Total phenolic content (TPC) and antioxidant capacity (ABTS •+ ) were determined. Beef burgers with 20 g kg −1 of mortiño (MM) or its PLE extract (ME) were manufactured. Lipid oxidation (TBARS) and instrumental color changes were measured after refrigerated storage. RESULTS: High TPC (up to 72 g gallic acid equivalent kg −1 extract) was determined in mortiño extracts, which was positively correlated with antioxidant activity. TBARS values of beef burgers containing either MM or ME did not change after refrigerated storage, whereas lipid oxidation of control burgers increased significantly. The color of burgers with added MM or ME was different (lower b* and a* values) from that of control burgers. However, the evolution of color after storage was similar between control and ME samples. CONCLUSION: Mortiño extracts with high TPC can be obtained by PLE. Both mortiño and its PLE extract are able to control lipid oxidation of beef burgers, but the extract is preferred from the color quality point of view. © 2017 Society of Chemical Industry.","author":[{"dropping-particle":"","family":"López-Padilla","given":"Alexis","non-dropping-particle":"","parse-names":false,"suffix":""},{"dropping-particle":"","family":"Martín","given":"Diana","non-dropping-particle":"","parse-names":false,"suffix":""},{"dropping-particle":"","family":"Villanueva Bermejo","given":"David","non-dropping-particle":"","parse-names":false,"suffix":""},{"dropping-particle":"","family":"Jaime","given":"Laura","non-dropping-particle":"","parse-names":false,"suffix":""},{"dropping-particle":"","family":"Ruiz-Rodriguez","given":"Alejandro","non-dropping-particle":"","parse-names":false,"suffix":""},{"dropping-particle":"","family":"Restrepo Flórez","given":"Claudia Estela","non-dropping-particle":"","parse-names":false,"suffix":""},{"dropping-particle":"","family":"Rivero Barrios","given":"Diana Marsela","non-dropping-particle":"","parse-names":false,"suffix":""},{"dropping-particle":"","family":"Fornari","given":"Tiziana","non-dropping-particle":"","parse-names":false,"suffix":""}],"container-title":"Journal of the Science of Food and Agriculture","id":"ITEM-1","issued":{"date-parts":[["2018"]]},"title":"Vaccinium meridionale Swartz extracts and their addition in beef burgers as antioxidant ingredient","type":"article-journal"},"uris":["http://www.mendeley.com/documents/?uuid=3496e0f9-ae96-324a-8eba-20707287f96e","http://www.mendeley.com/documents/?uuid=7e9d2dfc-041d-41e3-8463-d128f904a046","http://www.mendeley.com/documents/?uuid=f96752ca-579d-4602-8696-7b1cc886135f","http://www.mendeley.com/documents/?uuid=8545aa6d-0d89-4294-b476-222811b25781","http://www.mendeley.com/documents/?uuid=6b1c468d-0490-4034-8f13-0ee330610369"]}],"mendeley":{"formattedCitation":"&lt;sup&gt;35&lt;/sup&gt;","plainTextFormattedCitation":"35","previouslyFormattedCitation":"&lt;sup&gt;34&lt;/sup&gt;"},"properties":{"noteIndex":0},"schema":"https://github.com/citation-style-language/schema/raw/master/csl-citation.json"}</w:instrText>
            </w:r>
            <w:r w:rsidRPr="00891C49">
              <w:rPr>
                <w:rFonts w:ascii="Helvetica" w:hAnsi="Helvetica" w:cs="Helvetica"/>
                <w:sz w:val="24"/>
                <w:szCs w:val="24"/>
                <w:shd w:val="clear" w:color="auto" w:fill="FFFFFF"/>
              </w:rPr>
              <w:fldChar w:fldCharType="separate"/>
            </w:r>
            <w:r w:rsidR="00B02898" w:rsidRPr="00B02898">
              <w:rPr>
                <w:rFonts w:ascii="Helvetica" w:hAnsi="Helvetica" w:cs="Helvetica"/>
                <w:noProof/>
                <w:sz w:val="24"/>
                <w:szCs w:val="24"/>
                <w:shd w:val="clear" w:color="auto" w:fill="FFFFFF"/>
                <w:vertAlign w:val="superscript"/>
              </w:rPr>
              <w:t>35</w:t>
            </w:r>
            <w:r w:rsidRPr="00891C49">
              <w:rPr>
                <w:rFonts w:ascii="Helvetica" w:hAnsi="Helvetica" w:cs="Helvetica"/>
                <w:sz w:val="24"/>
                <w:szCs w:val="24"/>
                <w:shd w:val="clear" w:color="auto" w:fill="FFFFFF"/>
              </w:rPr>
              <w:fldChar w:fldCharType="end"/>
            </w:r>
            <w:r w:rsidR="0002400D" w:rsidRPr="00891C49">
              <w:rPr>
                <w:rFonts w:ascii="Helvetica" w:hAnsi="Helvetica" w:cs="Helvetica"/>
                <w:sz w:val="24"/>
                <w:szCs w:val="24"/>
                <w:shd w:val="clear" w:color="auto" w:fill="FFFFFF"/>
              </w:rPr>
              <w:t>. En el sector farmacéutico, el extracto de agraz</w:t>
            </w:r>
            <w:r w:rsidRPr="00891C49">
              <w:rPr>
                <w:rFonts w:ascii="Helvetica" w:hAnsi="Helvetica" w:cs="Helvetica"/>
                <w:sz w:val="24"/>
                <w:szCs w:val="24"/>
                <w:shd w:val="clear" w:color="auto" w:fill="FFFFFF"/>
              </w:rPr>
              <w:t xml:space="preserve"> </w:t>
            </w:r>
            <w:r w:rsidR="001F7991" w:rsidRPr="00891C49">
              <w:rPr>
                <w:rFonts w:ascii="Helvetica" w:hAnsi="Helvetica" w:cs="Helvetica"/>
                <w:sz w:val="24"/>
                <w:szCs w:val="24"/>
                <w:shd w:val="clear" w:color="auto" w:fill="FFFFFF"/>
              </w:rPr>
              <w:t>ha mostrado</w:t>
            </w:r>
            <w:r w:rsidR="003258A2" w:rsidRPr="00891C49">
              <w:rPr>
                <w:rFonts w:ascii="Helvetica" w:hAnsi="Helvetica" w:cs="Helvetica"/>
                <w:sz w:val="24"/>
                <w:szCs w:val="24"/>
                <w:shd w:val="clear" w:color="auto" w:fill="FFFFFF"/>
              </w:rPr>
              <w:t xml:space="preserve"> actividad cardioprotectora en experimentos in vivo en ratas</w:t>
            </w:r>
            <w:r w:rsidR="003258A2" w:rsidRPr="00891C49">
              <w:rPr>
                <w:rFonts w:ascii="Helvetica" w:hAnsi="Helvetica" w:cs="Helvetica"/>
                <w:sz w:val="24"/>
                <w:szCs w:val="24"/>
                <w:shd w:val="clear" w:color="auto" w:fill="FFFFFF"/>
              </w:rPr>
              <w:fldChar w:fldCharType="begin" w:fldLock="1"/>
            </w:r>
            <w:r w:rsidR="00B02898">
              <w:rPr>
                <w:rFonts w:ascii="Helvetica" w:hAnsi="Helvetica" w:cs="Helvetica"/>
                <w:sz w:val="24"/>
                <w:szCs w:val="24"/>
                <w:shd w:val="clear" w:color="auto" w:fill="FFFFFF"/>
              </w:rPr>
              <w:instrText>ADDIN CSL_CITATION {"citationItems":[{"id":"ITEM-1","itemData":{"DOI":"10.1155/2013/516727","ISSN":"1741427X","abstract":" Our objective was to assess the antioxidant properties and the effects against the reperfusion injury of a nonalcoholic extract obtained by fermentation from the Colombian blueberry, mortiño ( Vaccinium meridionale Swartz, Ericaceae). Antioxidant properties were assessed by in vitro systems. To examine the postischemic myocardial function, isolated rat hearts were treated 10 min before ischemia and during the first 10 min of reperfusion with the extract. To analyze the participation of nitric oxide (NO), other experiments were performed in the presence of nitric oxide synthase (NOS) inhibition with NG -nitro-L-arginine methyl ester (L-NAME). In cardiac tissue thiobarbituric acid reactive substances (TBARS) concentration, reduced glutathione (GSH) content, endothelial NOS (eNOS), and Akt expression were also measured. The blueberry extract showed higher total phenols and anthocyanins contents, scavenging activity of superoxide radical and systolic and diastolic function was improved, TBARS diminished, GSH was partially preserved, and both NOS and Akt expression increased in hearts treated with the extract. These beneficial effects were lost when eNOS was inhibited. In resume, these data show that the increase of eNOS expression via Akt and the scavenging activity contribute to the cardioprotection afforded by acute treatment with Colombian blueberry extract against ischemia and reperfusion injury. ","author":[{"dropping-particle":"","family":"Lopera","given":"Yasmin E.","non-dropping-particle":"","parse-names":false,"suffix":""},{"dropping-particle":"","family":"Fantinelli","given":"Juliana","non-dropping-particle":"","parse-names":false,"suffix":""},{"dropping-particle":"","family":"González Arbeláez","given":"Luisa F.","non-dropping-particle":"","parse-names":false,"suffix":""},{"dropping-particle":"","family":"Rojano","given":"Benjamín","non-dropping-particle":"","parse-names":false,"suffix":""},{"dropping-particle":"","family":"Ríos","given":"José Luis","non-dropping-particle":"","parse-names":false,"suffix":""},{"dropping-particle":"","family":"Schinella","given":"Guillermo","non-dropping-particle":"","parse-names":false,"suffix":""},{"dropping-particle":"","family":"Mosca","given":"Susana","non-dropping-particle":"","parse-names":false,"suffix":""}],"container-title":"Evidence-based Complementary and Alternative Medicine","id":"ITEM-1","issued":{"date-parts":[["2013"]]},"title":"Antioxidant activity and cardioprotective effect of a nonalcoholic extract of Vaccinium meridionale Swartz during ischemia-reperfusion in rats","type":"article-journal","volume":"2013"},"uris":["http://www.mendeley.com/documents/?uuid=a9869a8b-438f-4c54-92ec-bd34320e2d01","http://www.mendeley.com/documents/?uuid=871b65ac-3b31-487f-9a3f-289631f50a13","http://www.mendeley.com/documents/?uuid=0f55f797-1b73-42e0-8c25-9aafa41a33c5"]}],"mendeley":{"formattedCitation":"&lt;sup&gt;36&lt;/sup&gt;","plainTextFormattedCitation":"36","previouslyFormattedCitation":"&lt;sup&gt;35&lt;/sup&gt;"},"properties":{"noteIndex":0},"schema":"https://github.com/citation-style-language/schema/raw/master/csl-citation.json"}</w:instrText>
            </w:r>
            <w:r w:rsidR="003258A2" w:rsidRPr="00891C49">
              <w:rPr>
                <w:rFonts w:ascii="Helvetica" w:hAnsi="Helvetica" w:cs="Helvetica"/>
                <w:sz w:val="24"/>
                <w:szCs w:val="24"/>
                <w:shd w:val="clear" w:color="auto" w:fill="FFFFFF"/>
              </w:rPr>
              <w:fldChar w:fldCharType="separate"/>
            </w:r>
            <w:r w:rsidR="00B02898" w:rsidRPr="00B02898">
              <w:rPr>
                <w:rFonts w:ascii="Helvetica" w:hAnsi="Helvetica" w:cs="Helvetica"/>
                <w:noProof/>
                <w:sz w:val="24"/>
                <w:szCs w:val="24"/>
                <w:shd w:val="clear" w:color="auto" w:fill="FFFFFF"/>
                <w:vertAlign w:val="superscript"/>
              </w:rPr>
              <w:t>36</w:t>
            </w:r>
            <w:r w:rsidR="003258A2" w:rsidRPr="00891C49">
              <w:rPr>
                <w:rFonts w:ascii="Helvetica" w:hAnsi="Helvetica" w:cs="Helvetica"/>
                <w:sz w:val="24"/>
                <w:szCs w:val="24"/>
                <w:shd w:val="clear" w:color="auto" w:fill="FFFFFF"/>
              </w:rPr>
              <w:fldChar w:fldCharType="end"/>
            </w:r>
            <w:r w:rsidR="001F7991" w:rsidRPr="00891C49">
              <w:rPr>
                <w:rFonts w:ascii="Helvetica" w:hAnsi="Helvetica" w:cs="Helvetica"/>
                <w:sz w:val="24"/>
                <w:szCs w:val="24"/>
                <w:shd w:val="clear" w:color="auto" w:fill="FFFFFF"/>
              </w:rPr>
              <w:t>; así como un efecto antioxidante y capacidad oncoprotectora en modelos celulares de cáncer de colo</w:t>
            </w:r>
            <w:r w:rsidR="009F022E" w:rsidRPr="00891C49">
              <w:rPr>
                <w:rFonts w:ascii="Helvetica" w:hAnsi="Helvetica" w:cs="Helvetica"/>
                <w:sz w:val="24"/>
                <w:szCs w:val="24"/>
                <w:shd w:val="clear" w:color="auto" w:fill="FFFFFF"/>
              </w:rPr>
              <w:t>n</w:t>
            </w:r>
            <w:r w:rsidR="001F7991" w:rsidRPr="00891C49">
              <w:rPr>
                <w:rFonts w:ascii="Helvetica" w:hAnsi="Helvetica" w:cs="Helvetica"/>
                <w:sz w:val="24"/>
                <w:szCs w:val="24"/>
                <w:shd w:val="clear" w:color="auto" w:fill="FFFFFF"/>
              </w:rPr>
              <w:fldChar w:fldCharType="begin" w:fldLock="1"/>
            </w:r>
            <w:r w:rsidR="00B02898">
              <w:rPr>
                <w:rFonts w:ascii="Helvetica" w:hAnsi="Helvetica" w:cs="Helvetica"/>
                <w:sz w:val="24"/>
                <w:szCs w:val="24"/>
                <w:shd w:val="clear" w:color="auto" w:fill="FFFFFF"/>
              </w:rPr>
              <w:instrText>ADDIN CSL_CITATION {"citationItems":[{"id":"ITEM-1","itemData":{"author":[{"dropping-particle":"","family":"Maldonado-Celis","given":"Maria E","non-dropping-particle":"","parse-names":false,"suffix":""},{"dropping-particle":"","family":"Arango-Varela","given":"Sandra Sulay","non-dropping-particle":"","parse-names":false,"suffix":""},{"dropping-particle":"","family":"Rojano","given":"Benjamín Alberto","non-dropping-particle":"","parse-names":false,"suffix":""}],"container-title":"Revista Cubana de Plantas Medicinales","id":"ITEM-1","issue":"2","issued":{"date-parts":[["2014"]]},"page":"172-184","title":"Free radical scavenging capacity and cytotoxic and antiproliferative effects of Vaccinium meridionale Sw . agains colon cancer cell lines","type":"article-journal","volume":"19"},"uris":["http://www.mendeley.com/documents/?uuid=b36e1807-4427-4c29-ae2f-7592c889a65d","http://www.mendeley.com/documents/?uuid=36501a6a-be2b-4f55-986c-6bb18c0fb161","http://www.mendeley.com/documents/?uuid=2940153f-9539-488b-9f6d-fbf45b0decb1"]}],"mendeley":{"formattedCitation":"&lt;sup&gt;37&lt;/sup&gt;","plainTextFormattedCitation":"37","previouslyFormattedCitation":"&lt;sup&gt;36&lt;/sup&gt;"},"properties":{"noteIndex":0},"schema":"https://github.com/citation-style-language/schema/raw/master/csl-citation.json"}</w:instrText>
            </w:r>
            <w:r w:rsidR="001F7991" w:rsidRPr="00891C49">
              <w:rPr>
                <w:rFonts w:ascii="Helvetica" w:hAnsi="Helvetica" w:cs="Helvetica"/>
                <w:sz w:val="24"/>
                <w:szCs w:val="24"/>
                <w:shd w:val="clear" w:color="auto" w:fill="FFFFFF"/>
              </w:rPr>
              <w:fldChar w:fldCharType="separate"/>
            </w:r>
            <w:r w:rsidR="00B02898" w:rsidRPr="00B02898">
              <w:rPr>
                <w:rFonts w:ascii="Helvetica" w:hAnsi="Helvetica" w:cs="Helvetica"/>
                <w:noProof/>
                <w:sz w:val="24"/>
                <w:szCs w:val="24"/>
                <w:shd w:val="clear" w:color="auto" w:fill="FFFFFF"/>
                <w:vertAlign w:val="superscript"/>
              </w:rPr>
              <w:t>37</w:t>
            </w:r>
            <w:r w:rsidR="001F7991" w:rsidRPr="00891C49">
              <w:rPr>
                <w:rFonts w:ascii="Helvetica" w:hAnsi="Helvetica" w:cs="Helvetica"/>
                <w:sz w:val="24"/>
                <w:szCs w:val="24"/>
                <w:shd w:val="clear" w:color="auto" w:fill="FFFFFF"/>
              </w:rPr>
              <w:fldChar w:fldCharType="end"/>
            </w:r>
            <w:r w:rsidR="0002400D" w:rsidRPr="00891C49">
              <w:rPr>
                <w:rFonts w:ascii="Helvetica" w:hAnsi="Helvetica" w:cs="Helvetica"/>
                <w:sz w:val="24"/>
                <w:szCs w:val="24"/>
                <w:shd w:val="clear" w:color="auto" w:fill="FFFFFF"/>
              </w:rPr>
              <w:t>. De otro lado, en la industria cosmética, el extracto de agraz ha sido reportado como promisorio gracias a la inhibición de la actividad de las enzimas elastasa y colagenasa en fibroblastos humanos, por lo que podría ser usado en la formulación de productos antienvejecimiento</w:t>
            </w:r>
            <w:r w:rsidR="006934B2" w:rsidRPr="00891C49">
              <w:rPr>
                <w:rFonts w:ascii="Helvetica" w:hAnsi="Helvetica" w:cs="Helvetica"/>
                <w:sz w:val="24"/>
                <w:szCs w:val="24"/>
                <w:shd w:val="clear" w:color="auto" w:fill="FFFFFF"/>
              </w:rPr>
              <w:fldChar w:fldCharType="begin" w:fldLock="1"/>
            </w:r>
            <w:r w:rsidR="00B02898">
              <w:rPr>
                <w:rFonts w:ascii="Helvetica" w:hAnsi="Helvetica" w:cs="Helvetica"/>
                <w:sz w:val="24"/>
                <w:szCs w:val="24"/>
                <w:shd w:val="clear" w:color="auto" w:fill="FFFFFF"/>
              </w:rPr>
              <w:instrText>ADDIN CSL_CITATION {"citationItems":[{"id":"ITEM-1","itemData":{"author":[{"dropping-particle":"","family":"Guzmán","given":"Mauricio","non-dropping-particle":"","parse-names":false,"suffix":""},{"dropping-particle":"","family":"Cortázar","given":"Tania","non-dropping-particle":"","parse-names":false,"suffix":""}],"container-title":"Cosméticos &amp; Tecnología Latinoamérica","id":"ITEM-1","issued":{"date-parts":[["2011"]]},"page":"19-23","title":"Inhibición de las actividades colagenasa y elastasa en fibroblastos humanos estimulados con UVB","type":"article-journal","volume":"2"},"uris":["http://www.mendeley.com/documents/?uuid=bd0be677-3bf0-476b-a9bf-c545171adce2","http://www.mendeley.com/documents/?uuid=9e68e719-6969-4d68-bb2c-3fa114f4e1dd","http://www.mendeley.com/documents/?uuid=68e6f7e9-d90a-4eea-9ed7-7787d7bf17fa"]}],"mendeley":{"formattedCitation":"&lt;sup&gt;38&lt;/sup&gt;","plainTextFormattedCitation":"38","previouslyFormattedCitation":"&lt;sup&gt;37&lt;/sup&gt;"},"properties":{"noteIndex":0},"schema":"https://github.com/citation-style-language/schema/raw/master/csl-citation.json"}</w:instrText>
            </w:r>
            <w:r w:rsidR="006934B2" w:rsidRPr="00891C49">
              <w:rPr>
                <w:rFonts w:ascii="Helvetica" w:hAnsi="Helvetica" w:cs="Helvetica"/>
                <w:sz w:val="24"/>
                <w:szCs w:val="24"/>
                <w:shd w:val="clear" w:color="auto" w:fill="FFFFFF"/>
              </w:rPr>
              <w:fldChar w:fldCharType="separate"/>
            </w:r>
            <w:r w:rsidR="00B02898" w:rsidRPr="00B02898">
              <w:rPr>
                <w:rFonts w:ascii="Helvetica" w:hAnsi="Helvetica" w:cs="Helvetica"/>
                <w:noProof/>
                <w:sz w:val="24"/>
                <w:szCs w:val="24"/>
                <w:shd w:val="clear" w:color="auto" w:fill="FFFFFF"/>
                <w:vertAlign w:val="superscript"/>
              </w:rPr>
              <w:t>38</w:t>
            </w:r>
            <w:r w:rsidR="006934B2" w:rsidRPr="00891C49">
              <w:rPr>
                <w:rFonts w:ascii="Helvetica" w:hAnsi="Helvetica" w:cs="Helvetica"/>
                <w:sz w:val="24"/>
                <w:szCs w:val="24"/>
                <w:shd w:val="clear" w:color="auto" w:fill="FFFFFF"/>
              </w:rPr>
              <w:fldChar w:fldCharType="end"/>
            </w:r>
            <w:r w:rsidR="0002400D" w:rsidRPr="00891C49">
              <w:rPr>
                <w:rFonts w:ascii="Helvetica" w:hAnsi="Helvetica" w:cs="Helvetica"/>
                <w:sz w:val="24"/>
                <w:szCs w:val="24"/>
                <w:shd w:val="clear" w:color="auto" w:fill="FFFFFF"/>
              </w:rPr>
              <w:t xml:space="preserve">. </w:t>
            </w:r>
          </w:p>
          <w:p w14:paraId="33E0A0B4" w14:textId="77777777" w:rsidR="0002400D" w:rsidRPr="00891C49" w:rsidRDefault="0002400D" w:rsidP="00891C49">
            <w:pPr>
              <w:spacing w:after="0" w:line="240" w:lineRule="auto"/>
              <w:jc w:val="both"/>
              <w:rPr>
                <w:rFonts w:ascii="Helvetica" w:hAnsi="Helvetica" w:cs="Helvetica"/>
                <w:sz w:val="24"/>
                <w:szCs w:val="24"/>
                <w:shd w:val="clear" w:color="auto" w:fill="FFFFFF"/>
              </w:rPr>
            </w:pPr>
          </w:p>
          <w:p w14:paraId="720F518B" w14:textId="5BA67DAD" w:rsidR="000C1600" w:rsidRPr="00891C49" w:rsidRDefault="0002400D" w:rsidP="00891C49">
            <w:pPr>
              <w:spacing w:after="0" w:line="240" w:lineRule="auto"/>
              <w:jc w:val="both"/>
              <w:rPr>
                <w:rFonts w:ascii="Helvetica" w:hAnsi="Helvetica" w:cs="Helvetica"/>
                <w:sz w:val="24"/>
                <w:szCs w:val="24"/>
                <w:shd w:val="clear" w:color="auto" w:fill="FFFFFF"/>
              </w:rPr>
            </w:pPr>
            <w:r w:rsidRPr="00891C49">
              <w:rPr>
                <w:rFonts w:ascii="Helvetica" w:hAnsi="Helvetica" w:cs="Helvetica"/>
                <w:sz w:val="24"/>
                <w:szCs w:val="24"/>
                <w:shd w:val="clear" w:color="auto" w:fill="FFFFFF"/>
              </w:rPr>
              <w:t>En este sentido, el carácter promisorio del fruto hace necesario explorar opciones eficientes de extracción que garanticen la preservación de los activos antioxidantes.</w:t>
            </w:r>
            <w:r w:rsidR="005679EF" w:rsidRPr="00891C49">
              <w:rPr>
                <w:rFonts w:ascii="Helvetica" w:hAnsi="Helvetica" w:cs="Helvetica"/>
                <w:sz w:val="24"/>
                <w:szCs w:val="24"/>
                <w:shd w:val="clear" w:color="auto" w:fill="FFFFFF"/>
              </w:rPr>
              <w:t xml:space="preserve"> Las aproximaciones realizadas hasta el momento han empleado técnicas de extracción a escala laboratorio como </w:t>
            </w:r>
            <w:r w:rsidR="00806D4E" w:rsidRPr="00891C49">
              <w:rPr>
                <w:rFonts w:ascii="Helvetica" w:hAnsi="Helvetica" w:cs="Helvetica"/>
                <w:sz w:val="24"/>
                <w:szCs w:val="24"/>
                <w:shd w:val="clear" w:color="auto" w:fill="FFFFFF"/>
              </w:rPr>
              <w:t>licuado</w:t>
            </w:r>
            <w:r w:rsidR="00806D4E" w:rsidRPr="00891C49">
              <w:rPr>
                <w:rFonts w:ascii="Helvetica" w:hAnsi="Helvetica" w:cs="Helvetica"/>
                <w:sz w:val="24"/>
                <w:szCs w:val="24"/>
                <w:shd w:val="clear" w:color="auto" w:fill="FFFFFF"/>
              </w:rPr>
              <w:fldChar w:fldCharType="begin" w:fldLock="1"/>
            </w:r>
            <w:r w:rsidR="00B02898">
              <w:rPr>
                <w:rFonts w:ascii="Helvetica" w:hAnsi="Helvetica" w:cs="Helvetica"/>
                <w:sz w:val="24"/>
                <w:szCs w:val="24"/>
                <w:shd w:val="clear" w:color="auto" w:fill="FFFFFF"/>
              </w:rPr>
              <w:instrText>ADDIN CSL_CITATION {"citationItems":[{"id":"ITEM-1","itemData":{"abstract":"Se estudió la cinética de la estabilidad térmica y de almacenamiento de las antocianinas en jugo y concentrado de agraz (Vaccinium meridionale Sw.) siguiendo una cinética de primer orden. La degradación de las antocianinas con la temperatura fue modelada adecuadamente con la ecuación de Arrhenius. El efecto del pH en la estabilidad térmica de las antocianinas en los concentrados de agraz se estudió a seis diferentes valores (3,0 – 8,0) en buffer citrato-fosfato. La degradación de las antocianinas fue mayor para el jugo que para el concentrado. Una disminución significante en la estabilidad de las antocianinas del concentrado se observó a pH cercano a 5,0. Palabras","author":[{"dropping-particle":"","family":"Martínez Zambrano","given":"José Jobanny","non-dropping-particle":"","parse-names":false,"suffix":""},{"dropping-particle":"","family":"Rojas Sarmiento","given":"Hugo Alfonso","non-dropping-particle":"","parse-names":false,"suffix":""},{"dropping-particle":"","family":"Borda Guerra","given":"Gloria del Carmen","non-dropping-particle":"","parse-names":false,"suffix":""},{"dropping-particle":"","family":"Hastamorir Caro","given":"Alba Nidia","non-dropping-particle":"","parse-names":false,"suffix":""},{"dropping-particle":"","family":"Medina Riaño","given":"Michael Fernando","non-dropping-particle":"","parse-names":false,"suffix":""}],"container-title":"Revista Facultad Nacional de Agronomía","id":"ITEM-1","issue":"1","issued":{"date-parts":[["2011"]]},"page":"6015-6022","title":"Estabilidad de Antocianinas en Jugo y Concentrado de Agraz (Vaccinium meridionale Sw.)","type":"article-journal","volume":"64"},"uris":["http://www.mendeley.com/documents/?uuid=5583fe20-9dbf-44af-acb5-1f150f443ee3","http://www.mendeley.com/documents/?uuid=c3ce91c2-f9cb-4113-beda-8559aed299f6","http://www.mendeley.com/documents/?uuid=44294bbc-7f7a-41b8-9bd0-9da7f57bee87"]}],"mendeley":{"formattedCitation":"&lt;sup&gt;39&lt;/sup&gt;","plainTextFormattedCitation":"39","previouslyFormattedCitation":"&lt;sup&gt;38&lt;/sup&gt;"},"properties":{"noteIndex":0},"schema":"https://github.com/citation-style-language/schema/raw/master/csl-citation.json"}</w:instrText>
            </w:r>
            <w:r w:rsidR="00806D4E" w:rsidRPr="00891C49">
              <w:rPr>
                <w:rFonts w:ascii="Helvetica" w:hAnsi="Helvetica" w:cs="Helvetica"/>
                <w:sz w:val="24"/>
                <w:szCs w:val="24"/>
                <w:shd w:val="clear" w:color="auto" w:fill="FFFFFF"/>
              </w:rPr>
              <w:fldChar w:fldCharType="separate"/>
            </w:r>
            <w:r w:rsidR="00B02898" w:rsidRPr="00B02898">
              <w:rPr>
                <w:rFonts w:ascii="Helvetica" w:hAnsi="Helvetica" w:cs="Helvetica"/>
                <w:noProof/>
                <w:sz w:val="24"/>
                <w:szCs w:val="24"/>
                <w:shd w:val="clear" w:color="auto" w:fill="FFFFFF"/>
                <w:vertAlign w:val="superscript"/>
              </w:rPr>
              <w:t>39</w:t>
            </w:r>
            <w:r w:rsidR="00806D4E" w:rsidRPr="00891C49">
              <w:rPr>
                <w:rFonts w:ascii="Helvetica" w:hAnsi="Helvetica" w:cs="Helvetica"/>
                <w:sz w:val="24"/>
                <w:szCs w:val="24"/>
                <w:shd w:val="clear" w:color="auto" w:fill="FFFFFF"/>
              </w:rPr>
              <w:fldChar w:fldCharType="end"/>
            </w:r>
            <w:r w:rsidR="00806D4E" w:rsidRPr="00891C49">
              <w:rPr>
                <w:rFonts w:ascii="Helvetica" w:hAnsi="Helvetica" w:cs="Helvetica"/>
                <w:sz w:val="24"/>
                <w:szCs w:val="24"/>
                <w:shd w:val="clear" w:color="auto" w:fill="FFFFFF"/>
              </w:rPr>
              <w:t xml:space="preserve"> y macerado</w:t>
            </w:r>
            <w:r w:rsidR="005679EF" w:rsidRPr="00891C49">
              <w:rPr>
                <w:rFonts w:ascii="Helvetica" w:hAnsi="Helvetica" w:cs="Helvetica"/>
                <w:sz w:val="24"/>
                <w:szCs w:val="24"/>
                <w:shd w:val="clear" w:color="auto" w:fill="FFFFFF"/>
              </w:rPr>
              <w:t xml:space="preserve"> por Ultra-turrax® y ultrasonido</w:t>
            </w:r>
            <w:r w:rsidR="005679EF" w:rsidRPr="00891C49">
              <w:rPr>
                <w:rFonts w:ascii="Helvetica" w:hAnsi="Helvetica" w:cs="Helvetica"/>
                <w:sz w:val="24"/>
                <w:szCs w:val="24"/>
                <w:shd w:val="clear" w:color="auto" w:fill="FFFFFF"/>
              </w:rPr>
              <w:fldChar w:fldCharType="begin" w:fldLock="1"/>
            </w:r>
            <w:r w:rsidR="00B02898">
              <w:rPr>
                <w:rFonts w:ascii="Helvetica" w:hAnsi="Helvetica" w:cs="Helvetica"/>
                <w:sz w:val="24"/>
                <w:szCs w:val="24"/>
                <w:shd w:val="clear" w:color="auto" w:fill="FFFFFF"/>
              </w:rPr>
              <w:instrText>ADDIN CSL_CITATION {"citationItems":[{"id":"ITEM-1","itemData":{"abstract":"Se planteó como objetivo del traba jo evaluar e l comportamiento de las caracterí sticas bioctivas de la mora ( Rubus glaucus) y agraz ( Vaccinium meridionale Swartz) durante procesos de maduración y transformación. La muestra de mora se obtuvo de un cultivo y el agraz de plantas silvestres. Se estudiaron t res estados de maduración encont rando que se presenta acumulación de antocianinas a medida que madura cada fruto, además en la mora las propied ades antioxidantes permanecen constantes mientras que en el agraz hay aumentos significativos. Se evaluó el perfil aro mático de cada estado y se encontró que es posible diferenciar el estado de cosecha de los otros dos. Se evaluó los efectos de l despulpad o y concen trado sobre las prop iedades antio xidantes de estos frutos en el estado de cosecha, los efectos del comportamiento dependen de la muestra y de las condiciones del proceso.","author":[{"dropping-particle":"","family":"Bernal Roa","given":"Luisa Juana","non-dropping-particle":"","parse-names":false,"suffix":""}],"id":"ITEM-1","issued":{"date-parts":[["2012"]]},"publisher":"Universidad Nacional de Colombia","title":"Evaluación de las Propiedades Bioactivas de Mora (Rubus glaucus) y Agraz (Vaccinium meridionale Swartz), en Fresco y Durante Procesos de Transformación","type":"thesis"},"uris":["http://www.mendeley.com/documents/?uuid=1a748658-d789-46de-8220-28d5062daead","http://www.mendeley.com/documents/?uuid=1575b098-c68e-4358-8db0-c5a984a02a11","http://www.mendeley.com/documents/?uuid=99f0c634-f591-44ed-b4e9-3e5bcc5acf48"]}],"mendeley":{"formattedCitation":"&lt;sup&gt;40&lt;/sup&gt;","plainTextFormattedCitation":"40","previouslyFormattedCitation":"&lt;sup&gt;39&lt;/sup&gt;"},"properties":{"noteIndex":0},"schema":"https://github.com/citation-style-language/schema/raw/master/csl-citation.json"}</w:instrText>
            </w:r>
            <w:r w:rsidR="005679EF" w:rsidRPr="00891C49">
              <w:rPr>
                <w:rFonts w:ascii="Helvetica" w:hAnsi="Helvetica" w:cs="Helvetica"/>
                <w:sz w:val="24"/>
                <w:szCs w:val="24"/>
                <w:shd w:val="clear" w:color="auto" w:fill="FFFFFF"/>
              </w:rPr>
              <w:fldChar w:fldCharType="separate"/>
            </w:r>
            <w:r w:rsidR="00B02898" w:rsidRPr="00B02898">
              <w:rPr>
                <w:rFonts w:ascii="Helvetica" w:hAnsi="Helvetica" w:cs="Helvetica"/>
                <w:noProof/>
                <w:sz w:val="24"/>
                <w:szCs w:val="24"/>
                <w:shd w:val="clear" w:color="auto" w:fill="FFFFFF"/>
                <w:vertAlign w:val="superscript"/>
              </w:rPr>
              <w:t>40</w:t>
            </w:r>
            <w:r w:rsidR="005679EF" w:rsidRPr="00891C49">
              <w:rPr>
                <w:rFonts w:ascii="Helvetica" w:hAnsi="Helvetica" w:cs="Helvetica"/>
                <w:sz w:val="24"/>
                <w:szCs w:val="24"/>
                <w:shd w:val="clear" w:color="auto" w:fill="FFFFFF"/>
              </w:rPr>
              <w:fldChar w:fldCharType="end"/>
            </w:r>
            <w:r w:rsidR="00806D4E" w:rsidRPr="00891C49">
              <w:rPr>
                <w:rFonts w:ascii="Helvetica" w:hAnsi="Helvetica" w:cs="Helvetica"/>
                <w:sz w:val="24"/>
                <w:szCs w:val="24"/>
                <w:shd w:val="clear" w:color="auto" w:fill="FFFFFF"/>
              </w:rPr>
              <w:t xml:space="preserve">. En aras de impulsar el desarrollo de una industria de alto valor agregado fundamentada en la explotación de agraz, resulta vital evaluar metodologías de extracción a mayor escala. </w:t>
            </w:r>
            <w:r w:rsidR="00650CF5" w:rsidRPr="00891C49">
              <w:rPr>
                <w:rFonts w:ascii="Helvetica" w:hAnsi="Helvetica" w:cs="Helvetica"/>
                <w:sz w:val="24"/>
                <w:szCs w:val="24"/>
                <w:shd w:val="clear" w:color="auto" w:fill="FFFFFF"/>
              </w:rPr>
              <w:t>De acuerdo con el conocimiento de los autores, la hidrocavitación no ha sido empleada como metodología de extracción</w:t>
            </w:r>
            <w:r w:rsidR="00A91D6E" w:rsidRPr="00891C49">
              <w:rPr>
                <w:rFonts w:ascii="Helvetica" w:hAnsi="Helvetica" w:cs="Helvetica"/>
                <w:sz w:val="24"/>
                <w:szCs w:val="24"/>
                <w:shd w:val="clear" w:color="auto" w:fill="FFFFFF"/>
              </w:rPr>
              <w:t>, por lo que será objeto de estudio del presente trabajo.</w:t>
            </w:r>
          </w:p>
          <w:p w14:paraId="42B5FB90" w14:textId="77777777" w:rsidR="00E6008D" w:rsidRPr="00C644B1" w:rsidRDefault="00E6008D">
            <w:pPr>
              <w:spacing w:after="0" w:line="240" w:lineRule="auto"/>
              <w:jc w:val="both"/>
              <w:rPr>
                <w:rFonts w:ascii="Helvetica" w:eastAsia="Times New Roman" w:hAnsi="Helvetica" w:cs="Helvetica"/>
                <w:color w:val="222222"/>
                <w:sz w:val="24"/>
                <w:szCs w:val="24"/>
                <w:lang w:eastAsia="es-CO"/>
              </w:rPr>
            </w:pPr>
          </w:p>
        </w:tc>
      </w:tr>
    </w:tbl>
    <w:p w14:paraId="53BAFE88"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34198A5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7C38D89"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14:paraId="45578F4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2DD6068" w14:textId="77777777" w:rsidR="00930350" w:rsidRDefault="00930350" w:rsidP="00930350">
            <w:pPr>
              <w:spacing w:after="0" w:line="240" w:lineRule="auto"/>
              <w:jc w:val="both"/>
              <w:rPr>
                <w:rFonts w:ascii="Helvetica" w:eastAsia="Times New Roman" w:hAnsi="Helvetica" w:cs="Helvetica"/>
                <w:color w:val="222222"/>
                <w:sz w:val="24"/>
                <w:szCs w:val="24"/>
                <w:lang w:eastAsia="es-CO"/>
              </w:rPr>
            </w:pPr>
          </w:p>
          <w:p w14:paraId="11C85B16" w14:textId="77777777" w:rsidR="00470E5A" w:rsidRPr="00891C49" w:rsidRDefault="00470E5A" w:rsidP="00470E5A">
            <w:pPr>
              <w:pStyle w:val="Prrafodelista"/>
              <w:numPr>
                <w:ilvl w:val="0"/>
                <w:numId w:val="7"/>
              </w:numPr>
              <w:spacing w:after="0" w:line="240" w:lineRule="auto"/>
              <w:jc w:val="both"/>
              <w:rPr>
                <w:rFonts w:ascii="Helvetica" w:eastAsia="Times New Roman" w:hAnsi="Helvetica" w:cs="Helvetica"/>
                <w:b/>
                <w:color w:val="222222"/>
                <w:sz w:val="28"/>
                <w:szCs w:val="24"/>
                <w:lang w:val="es-ES" w:eastAsia="es-CO"/>
              </w:rPr>
            </w:pPr>
            <w:r w:rsidRPr="00891C49">
              <w:rPr>
                <w:rFonts w:ascii="Helvetica" w:hAnsi="Helvetica" w:cs="Helvetica"/>
                <w:b/>
                <w:sz w:val="24"/>
                <w:lang w:val="es-ES"/>
              </w:rPr>
              <w:t>Obtención del material Vegetal</w:t>
            </w:r>
          </w:p>
          <w:p w14:paraId="1D9B09E8" w14:textId="77777777" w:rsidR="00602747" w:rsidRPr="00891C49" w:rsidRDefault="00602747" w:rsidP="00891C49">
            <w:pPr>
              <w:pStyle w:val="Prrafodelista"/>
              <w:spacing w:after="0" w:line="240" w:lineRule="auto"/>
              <w:jc w:val="both"/>
              <w:rPr>
                <w:rFonts w:ascii="Helvetica" w:eastAsia="Times New Roman" w:hAnsi="Helvetica" w:cs="Helvetica"/>
                <w:b/>
                <w:color w:val="222222"/>
                <w:sz w:val="28"/>
                <w:szCs w:val="24"/>
                <w:lang w:val="es-ES" w:eastAsia="es-CO"/>
              </w:rPr>
            </w:pPr>
          </w:p>
          <w:p w14:paraId="4E5B24A5" w14:textId="77777777" w:rsidR="00930350" w:rsidRPr="00EB2490" w:rsidRDefault="00930350" w:rsidP="00930350">
            <w:pPr>
              <w:spacing w:after="0" w:line="240" w:lineRule="auto"/>
              <w:jc w:val="both"/>
              <w:rPr>
                <w:rFonts w:ascii="Helvetica" w:eastAsia="Times New Roman" w:hAnsi="Helvetica" w:cs="Helvetica"/>
                <w:b/>
                <w:color w:val="222222"/>
                <w:sz w:val="24"/>
                <w:szCs w:val="24"/>
                <w:lang w:eastAsia="es-CO"/>
              </w:rPr>
            </w:pPr>
            <w:r w:rsidRPr="00EB2490">
              <w:rPr>
                <w:rFonts w:ascii="Helvetica" w:eastAsia="Times New Roman" w:hAnsi="Helvetica" w:cs="Helvetica"/>
                <w:b/>
                <w:color w:val="222222"/>
                <w:sz w:val="24"/>
                <w:szCs w:val="24"/>
                <w:lang w:eastAsia="es-CO"/>
              </w:rPr>
              <w:t>Material vegetal</w:t>
            </w:r>
          </w:p>
          <w:p w14:paraId="1999BCFD" w14:textId="7FDD25D5" w:rsidR="00930350" w:rsidRDefault="00930350" w:rsidP="0093035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Tanto las hojas de ortiga, como los frutos de agraz serán recolectadas en cultivos ubicados en el departamento de Cundinamarca. Con el fin de garantizar la homogeneidad del material vegetal este será recolectado al mismo tiempo y transportado </w:t>
            </w:r>
            <w:r w:rsidR="0086078C">
              <w:rPr>
                <w:rFonts w:ascii="Helvetica" w:eastAsia="Times New Roman" w:hAnsi="Helvetica" w:cs="Helvetica"/>
                <w:color w:val="222222"/>
                <w:sz w:val="24"/>
                <w:szCs w:val="24"/>
                <w:lang w:eastAsia="es-CO"/>
              </w:rPr>
              <w:t xml:space="preserve">al </w:t>
            </w:r>
            <w:r>
              <w:rPr>
                <w:rFonts w:ascii="Helvetica" w:eastAsia="Times New Roman" w:hAnsi="Helvetica" w:cs="Helvetica"/>
                <w:color w:val="222222"/>
                <w:sz w:val="24"/>
                <w:szCs w:val="24"/>
                <w:lang w:eastAsia="es-CO"/>
              </w:rPr>
              <w:t>laboratorio. Una vez en el laboratorio, el material vegetal será pesado y clasificado</w:t>
            </w:r>
            <w:r w:rsidR="00D459AD">
              <w:rPr>
                <w:rFonts w:ascii="Helvetica" w:eastAsia="Times New Roman" w:hAnsi="Helvetica" w:cs="Helvetica"/>
                <w:color w:val="222222"/>
                <w:sz w:val="24"/>
                <w:szCs w:val="24"/>
                <w:lang w:eastAsia="es-CO"/>
              </w:rPr>
              <w:t xml:space="preserve"> de forma manual</w:t>
            </w:r>
            <w:r>
              <w:rPr>
                <w:rFonts w:ascii="Helvetica" w:eastAsia="Times New Roman" w:hAnsi="Helvetica" w:cs="Helvetica"/>
                <w:color w:val="222222"/>
                <w:sz w:val="24"/>
                <w:szCs w:val="24"/>
                <w:lang w:eastAsia="es-CO"/>
              </w:rPr>
              <w:t xml:space="preserve">. </w:t>
            </w:r>
            <w:r w:rsidR="0086078C">
              <w:rPr>
                <w:rFonts w:ascii="Helvetica" w:eastAsia="Times New Roman" w:hAnsi="Helvetica" w:cs="Helvetica"/>
                <w:color w:val="222222"/>
                <w:sz w:val="24"/>
                <w:szCs w:val="24"/>
                <w:lang w:eastAsia="es-CO"/>
              </w:rPr>
              <w:t>Se</w:t>
            </w:r>
            <w:r>
              <w:rPr>
                <w:rFonts w:ascii="Helvetica" w:eastAsia="Times New Roman" w:hAnsi="Helvetica" w:cs="Helvetica"/>
                <w:color w:val="222222"/>
                <w:sz w:val="24"/>
                <w:szCs w:val="24"/>
                <w:lang w:eastAsia="es-CO"/>
              </w:rPr>
              <w:t xml:space="preserve"> removerán las hojas marchitas, las impurezas y los tallos más gruesos</w:t>
            </w:r>
            <w:r w:rsidR="0086078C">
              <w:rPr>
                <w:rFonts w:ascii="Helvetica" w:eastAsia="Times New Roman" w:hAnsi="Helvetica" w:cs="Helvetica"/>
                <w:color w:val="222222"/>
                <w:sz w:val="24"/>
                <w:szCs w:val="24"/>
                <w:lang w:eastAsia="es-CO"/>
              </w:rPr>
              <w:t xml:space="preserve"> (ortiga); </w:t>
            </w:r>
            <w:r>
              <w:rPr>
                <w:rFonts w:ascii="Helvetica" w:eastAsia="Times New Roman" w:hAnsi="Helvetica" w:cs="Helvetica"/>
                <w:color w:val="222222"/>
                <w:sz w:val="24"/>
                <w:szCs w:val="24"/>
                <w:lang w:eastAsia="es-CO"/>
              </w:rPr>
              <w:t>se rechazarán los frutos con evidencia de maltrato o descomposición</w:t>
            </w:r>
            <w:r w:rsidR="0086078C">
              <w:rPr>
                <w:rFonts w:ascii="Helvetica" w:eastAsia="Times New Roman" w:hAnsi="Helvetica" w:cs="Helvetica"/>
                <w:color w:val="222222"/>
                <w:sz w:val="24"/>
                <w:szCs w:val="24"/>
                <w:lang w:eastAsia="es-CO"/>
              </w:rPr>
              <w:t xml:space="preserve"> (agraz)</w:t>
            </w:r>
            <w:r>
              <w:rPr>
                <w:rFonts w:ascii="Helvetica" w:eastAsia="Times New Roman" w:hAnsi="Helvetica" w:cs="Helvetica"/>
                <w:color w:val="222222"/>
                <w:sz w:val="24"/>
                <w:szCs w:val="24"/>
                <w:lang w:eastAsia="es-CO"/>
              </w:rPr>
              <w:t>. Se realizará un lavado con agua destilada</w:t>
            </w:r>
            <w:r w:rsidR="0086078C">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w:t>
            </w:r>
          </w:p>
          <w:p w14:paraId="39F3F0BB" w14:textId="77777777" w:rsidR="00930350" w:rsidRDefault="00930350" w:rsidP="00930350">
            <w:pPr>
              <w:spacing w:after="0" w:line="240" w:lineRule="auto"/>
              <w:jc w:val="both"/>
              <w:rPr>
                <w:rFonts w:ascii="Helvetica" w:eastAsia="Times New Roman" w:hAnsi="Helvetica" w:cs="Helvetica"/>
                <w:color w:val="222222"/>
                <w:sz w:val="24"/>
                <w:szCs w:val="24"/>
                <w:lang w:eastAsia="es-CO"/>
              </w:rPr>
            </w:pPr>
          </w:p>
          <w:p w14:paraId="5E66FFF6" w14:textId="71E1769D" w:rsidR="00930350" w:rsidRPr="00891C49" w:rsidRDefault="00930350" w:rsidP="00891C49">
            <w:pPr>
              <w:pStyle w:val="Prrafodelista"/>
              <w:numPr>
                <w:ilvl w:val="0"/>
                <w:numId w:val="7"/>
              </w:numPr>
              <w:spacing w:after="0" w:line="240" w:lineRule="auto"/>
              <w:jc w:val="both"/>
              <w:rPr>
                <w:rFonts w:ascii="Helvetica" w:eastAsia="Times New Roman" w:hAnsi="Helvetica" w:cs="Helvetica"/>
                <w:b/>
                <w:color w:val="222222"/>
                <w:sz w:val="24"/>
                <w:szCs w:val="24"/>
                <w:lang w:eastAsia="es-CO"/>
              </w:rPr>
            </w:pPr>
            <w:r w:rsidRPr="00891C49">
              <w:rPr>
                <w:rFonts w:ascii="Helvetica" w:eastAsia="Times New Roman" w:hAnsi="Helvetica" w:cs="Helvetica"/>
                <w:b/>
                <w:color w:val="222222"/>
                <w:sz w:val="24"/>
                <w:szCs w:val="24"/>
                <w:lang w:eastAsia="es-CO"/>
              </w:rPr>
              <w:t>Secado natural</w:t>
            </w:r>
          </w:p>
          <w:p w14:paraId="30766BE4" w14:textId="202886EF" w:rsidR="00930350" w:rsidRDefault="00930350" w:rsidP="0093035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Tanto los frutos de agraz como las hojas de ortiga serán secadas de forma natural </w:t>
            </w:r>
            <w:r w:rsidR="0086078C">
              <w:rPr>
                <w:rFonts w:ascii="Helvetica" w:eastAsia="Times New Roman" w:hAnsi="Helvetica" w:cs="Helvetica"/>
                <w:color w:val="222222"/>
                <w:sz w:val="24"/>
                <w:szCs w:val="24"/>
                <w:lang w:eastAsia="es-CO"/>
              </w:rPr>
              <w:t>mediante secado solar</w:t>
            </w:r>
            <w:r>
              <w:rPr>
                <w:rFonts w:ascii="Helvetica" w:eastAsia="Times New Roman" w:hAnsi="Helvetica" w:cs="Helvetica"/>
                <w:color w:val="222222"/>
                <w:sz w:val="24"/>
                <w:szCs w:val="24"/>
                <w:lang w:eastAsia="es-CO"/>
              </w:rPr>
              <w:t>. Para esto, el material será dispuesto en canastillas plásticas convencionales</w:t>
            </w:r>
            <w:r w:rsidRPr="00891C49">
              <w:rPr>
                <w:rFonts w:ascii="Helvetica" w:eastAsia="Times New Roman" w:hAnsi="Helvetica" w:cs="Helvetica"/>
                <w:sz w:val="24"/>
                <w:szCs w:val="24"/>
                <w:lang w:eastAsia="es-CO"/>
              </w:rPr>
              <w:t xml:space="preserve">. En el caso de la ortiga, se mantendrá una profundidad de la capa de hojas menor a 1 cm y para el agraz una de 5 cm, con el fin de evitar el pudrimiento. </w:t>
            </w:r>
            <w:r>
              <w:rPr>
                <w:rFonts w:ascii="Helvetica" w:eastAsia="Times New Roman" w:hAnsi="Helvetica" w:cs="Helvetica"/>
                <w:color w:val="222222"/>
                <w:sz w:val="24"/>
                <w:szCs w:val="24"/>
                <w:lang w:eastAsia="es-CO"/>
              </w:rPr>
              <w:t xml:space="preserve">Las canastillas se mantendrán suspendidas para garantizar la circulación de aire por todos los costados. A lo largo del secado, se mantendrá un registro constante de temperatura y humedad para caracterizar el ambiente, haciendo uso de un termohigrómetro datalogger (94150, EBCHQ). </w:t>
            </w:r>
            <w:r w:rsidR="0086078C">
              <w:rPr>
                <w:rFonts w:ascii="Helvetica" w:eastAsia="Times New Roman" w:hAnsi="Helvetica" w:cs="Helvetica"/>
                <w:color w:val="222222"/>
                <w:sz w:val="24"/>
                <w:szCs w:val="24"/>
                <w:lang w:eastAsia="es-CO"/>
              </w:rPr>
              <w:t>Se</w:t>
            </w:r>
            <w:r>
              <w:rPr>
                <w:rFonts w:ascii="Helvetica" w:eastAsia="Times New Roman" w:hAnsi="Helvetica" w:cs="Helvetica"/>
                <w:color w:val="222222"/>
                <w:sz w:val="24"/>
                <w:szCs w:val="24"/>
                <w:lang w:eastAsia="es-CO"/>
              </w:rPr>
              <w:t xml:space="preserve"> determina</w:t>
            </w:r>
            <w:r w:rsidR="0086078C">
              <w:rPr>
                <w:rFonts w:ascii="Helvetica" w:eastAsia="Times New Roman" w:hAnsi="Helvetica" w:cs="Helvetica"/>
                <w:color w:val="222222"/>
                <w:sz w:val="24"/>
                <w:szCs w:val="24"/>
                <w:lang w:eastAsia="es-CO"/>
              </w:rPr>
              <w:t xml:space="preserve">rá la </w:t>
            </w:r>
            <w:r>
              <w:rPr>
                <w:rFonts w:ascii="Helvetica" w:eastAsia="Times New Roman" w:hAnsi="Helvetica" w:cs="Helvetica"/>
                <w:color w:val="222222"/>
                <w:sz w:val="24"/>
                <w:szCs w:val="24"/>
                <w:lang w:eastAsia="es-CO"/>
              </w:rPr>
              <w:t>humedad haciendo uso de una termobalanza (</w:t>
            </w:r>
            <w:r w:rsidR="0073569B">
              <w:rPr>
                <w:rFonts w:ascii="Helvetica" w:eastAsia="Times New Roman" w:hAnsi="Helvetica" w:cs="Helvetica"/>
                <w:color w:val="222222"/>
                <w:sz w:val="24"/>
                <w:szCs w:val="24"/>
                <w:lang w:eastAsia="es-CO"/>
              </w:rPr>
              <w:t>PMR 50, Radwag</w:t>
            </w:r>
            <w:r>
              <w:rPr>
                <w:rFonts w:ascii="Helvetica" w:eastAsia="Times New Roman" w:hAnsi="Helvetica" w:cs="Helvetica"/>
                <w:color w:val="222222"/>
                <w:sz w:val="24"/>
                <w:szCs w:val="24"/>
                <w:lang w:eastAsia="es-CO"/>
              </w:rPr>
              <w:t>), donde el material se secará a 105ºC hasta peso constante.</w:t>
            </w:r>
          </w:p>
          <w:p w14:paraId="4A15D668" w14:textId="77777777" w:rsidR="00930350" w:rsidRDefault="00930350" w:rsidP="00930350">
            <w:pPr>
              <w:spacing w:after="0" w:line="240" w:lineRule="auto"/>
              <w:jc w:val="both"/>
              <w:rPr>
                <w:rFonts w:ascii="Helvetica" w:eastAsia="Times New Roman" w:hAnsi="Helvetica" w:cs="Helvetica"/>
                <w:color w:val="222222"/>
                <w:sz w:val="24"/>
                <w:szCs w:val="24"/>
                <w:lang w:eastAsia="es-CO"/>
              </w:rPr>
            </w:pPr>
          </w:p>
          <w:p w14:paraId="42CF1FAF" w14:textId="1C531068" w:rsidR="00930350" w:rsidRDefault="00930350" w:rsidP="0093035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El material seco será reducido haciendo uso de un molino convencional. El tamaño de partícula será determinado haciendo uso de un tamiz (Gilson), con el fin de garantizar un tamaño inferior a 1 mm. El material seco y molido será empacado en bolsas plásticas y almacenado a -</w:t>
            </w:r>
            <w:r w:rsidR="00E46ACF">
              <w:rPr>
                <w:rFonts w:ascii="Helvetica" w:eastAsia="Times New Roman" w:hAnsi="Helvetica" w:cs="Helvetica"/>
                <w:color w:val="222222"/>
                <w:sz w:val="24"/>
                <w:szCs w:val="24"/>
                <w:lang w:eastAsia="es-CO"/>
              </w:rPr>
              <w:t>4</w:t>
            </w:r>
            <w:r>
              <w:rPr>
                <w:rFonts w:ascii="Helvetica" w:eastAsia="Times New Roman" w:hAnsi="Helvetica" w:cs="Helvetica"/>
                <w:color w:val="222222"/>
                <w:sz w:val="24"/>
                <w:szCs w:val="24"/>
                <w:lang w:eastAsia="es-CO"/>
              </w:rPr>
              <w:t>ºC hasta su uso, para evitar cualquier degradación</w:t>
            </w:r>
            <w:r w:rsidR="00E46ACF">
              <w:rPr>
                <w:rFonts w:ascii="Helvetica" w:eastAsia="Times New Roman" w:hAnsi="Helvetica" w:cs="Helvetica"/>
                <w:color w:val="222222"/>
                <w:sz w:val="24"/>
                <w:szCs w:val="24"/>
                <w:lang w:eastAsia="es-CO"/>
              </w:rPr>
              <w:t xml:space="preserve"> </w:t>
            </w:r>
            <w:r w:rsidR="00E46ACF">
              <w:rPr>
                <w:rFonts w:ascii="Helvetica" w:eastAsia="Times New Roman" w:hAnsi="Helvetica" w:cs="Helvetica"/>
                <w:color w:val="222222"/>
                <w:sz w:val="24"/>
                <w:szCs w:val="24"/>
                <w:lang w:eastAsia="es-CO"/>
              </w:rPr>
              <w:fldChar w:fldCharType="begin" w:fldLock="1"/>
            </w:r>
            <w:r w:rsidR="00B02898">
              <w:rPr>
                <w:rFonts w:ascii="Helvetica" w:eastAsia="Times New Roman" w:hAnsi="Helvetica" w:cs="Helvetica"/>
                <w:color w:val="222222"/>
                <w:sz w:val="24"/>
                <w:szCs w:val="24"/>
                <w:lang w:eastAsia="es-CO"/>
              </w:rPr>
              <w:instrText>ADDIN CSL_CITATION {"citationItems":[{"id":"ITEM-1","itemData":{"DOI":"10.1155/2013/857120","ISSN":"23145765","abstract":"Stinging nettle (Urtica dioica L.) has a long history of usage and is currently receiving attention as a source of fiber and alternative medicine.  In many cultures, nettle is also eaten as a leafy vegetable.  In this study, we focused on nettle yield (edible portion) and processing effects on nutritive and dietary properties.  Actively growing shoots were harvested from field plots and leaves sepd. from stems.  Leaf portions (200 g) were washed and processed by blanching (1 min at 96-98°C) or cooking (7 min at 98-99°C) with or without salt (5 g·L-1).  Samples were cooled immediately after cooking and kept in frozen storage before anal.  Proximate compn., mineral, amino acid, and vitamin contents were detd., and nutritive value was estd. based on 100 g serving portions in a 2000 cal diet.  Results show that processed nettle can supply 90%-100% of vitamin A (including vitamin A as β-carotene) and is a good source of dietary calcium, iron, and protein.  We recommend fresh or processed nettle as a high-protein, low-calorie source of essential nutrients, minerals, and vitamins particularly in vegetarian, diabetic, or other specialized diets. [on SciFinder(R)]","author":[{"dropping-particle":"","family":"Rutto","given":"Laban K.","non-dropping-particle":"","parse-names":false,"suffix":""},{"dropping-particle":"","family":"Xu","given":"Yixiang","non-dropping-particle":"","parse-names":false,"suffix":""},{"dropping-particle":"","family":"Ramirez","given":"Elizabeth","non-dropping-particle":"","parse-names":false,"suffix":""},{"dropping-particle":"","family":"Brandt","given":"Michael","non-dropping-particle":"","parse-names":false,"suffix":""}],"container-title":"International Journal of Food Science","id":"ITEM-1","issued":{"date-parts":[["2013"]]},"title":"Mineral properties and dietary value of raw and processed stinging nettle (Urtica dioica L.)","type":"article-journal","volume":"2013"},"uris":["http://www.mendeley.com/documents/?uuid=dbdb37ae-7bdf-4bd9-825e-7f5397134627","http://www.mendeley.com/documents/?uuid=e26dbf72-f02f-4e0d-9e96-127ae4f6fa0f","http://www.mendeley.com/documents/?uuid=f55d333b-82bb-4555-8394-0f7181b2b0d5"]}],"mendeley":{"formattedCitation":"&lt;sup&gt;41&lt;/sup&gt;","plainTextFormattedCitation":"41","previouslyFormattedCitation":"&lt;sup&gt;40&lt;/sup&gt;"},"properties":{"noteIndex":0},"schema":"https://github.com/citation-style-language/schema/raw/master/csl-citation.json"}</w:instrText>
            </w:r>
            <w:r w:rsidR="00E46ACF">
              <w:rPr>
                <w:rFonts w:ascii="Helvetica" w:eastAsia="Times New Roman" w:hAnsi="Helvetica" w:cs="Helvetica"/>
                <w:color w:val="222222"/>
                <w:sz w:val="24"/>
                <w:szCs w:val="24"/>
                <w:lang w:eastAsia="es-CO"/>
              </w:rPr>
              <w:fldChar w:fldCharType="separate"/>
            </w:r>
            <w:r w:rsidR="00B02898" w:rsidRPr="00B02898">
              <w:rPr>
                <w:rFonts w:ascii="Helvetica" w:eastAsia="Times New Roman" w:hAnsi="Helvetica" w:cs="Helvetica"/>
                <w:noProof/>
                <w:color w:val="222222"/>
                <w:sz w:val="24"/>
                <w:szCs w:val="24"/>
                <w:vertAlign w:val="superscript"/>
                <w:lang w:eastAsia="es-CO"/>
              </w:rPr>
              <w:t>41</w:t>
            </w:r>
            <w:r w:rsidR="00E46ACF">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w:t>
            </w:r>
          </w:p>
          <w:p w14:paraId="1EFF567E" w14:textId="77777777" w:rsidR="00470E5A" w:rsidRDefault="00470E5A" w:rsidP="00930350">
            <w:pPr>
              <w:spacing w:after="0" w:line="240" w:lineRule="auto"/>
              <w:jc w:val="both"/>
              <w:rPr>
                <w:rFonts w:ascii="Helvetica" w:eastAsia="Times New Roman" w:hAnsi="Helvetica" w:cs="Helvetica"/>
                <w:color w:val="222222"/>
                <w:sz w:val="24"/>
                <w:szCs w:val="24"/>
                <w:lang w:eastAsia="es-CO"/>
              </w:rPr>
            </w:pPr>
          </w:p>
          <w:p w14:paraId="44A5D20D" w14:textId="77777777" w:rsidR="00930350" w:rsidRPr="00891C49" w:rsidRDefault="00470E5A" w:rsidP="00D459AD">
            <w:pPr>
              <w:pStyle w:val="Prrafodelista"/>
              <w:numPr>
                <w:ilvl w:val="0"/>
                <w:numId w:val="7"/>
              </w:numPr>
              <w:spacing w:after="0" w:line="240" w:lineRule="auto"/>
              <w:jc w:val="both"/>
              <w:rPr>
                <w:rFonts w:ascii="Helvetica" w:eastAsia="Times New Roman" w:hAnsi="Helvetica" w:cs="Helvetica"/>
                <w:b/>
                <w:sz w:val="24"/>
                <w:szCs w:val="24"/>
                <w:lang w:eastAsia="es-CO"/>
              </w:rPr>
            </w:pPr>
            <w:r w:rsidRPr="00891C49">
              <w:rPr>
                <w:rFonts w:ascii="Helvetica" w:eastAsia="Times New Roman" w:hAnsi="Helvetica" w:cs="Helvetica"/>
                <w:b/>
                <w:sz w:val="24"/>
                <w:szCs w:val="24"/>
                <w:lang w:eastAsia="es-CO"/>
              </w:rPr>
              <w:t>Extracción de principios activos a nivel laboratorio y reactor de hidrocavitación</w:t>
            </w:r>
          </w:p>
          <w:p w14:paraId="287811FE" w14:textId="77777777" w:rsidR="00470E5A" w:rsidRPr="00470E5A" w:rsidRDefault="00470E5A" w:rsidP="00470E5A">
            <w:pPr>
              <w:pStyle w:val="Prrafodelista"/>
              <w:spacing w:after="0" w:line="240" w:lineRule="auto"/>
              <w:jc w:val="both"/>
              <w:rPr>
                <w:rFonts w:ascii="Helvetica" w:eastAsia="Times New Roman" w:hAnsi="Helvetica" w:cs="Helvetica"/>
                <w:color w:val="222222"/>
                <w:sz w:val="24"/>
                <w:szCs w:val="24"/>
                <w:lang w:eastAsia="es-CO"/>
              </w:rPr>
            </w:pPr>
          </w:p>
          <w:p w14:paraId="21570BE0" w14:textId="77777777" w:rsidR="00930350" w:rsidRPr="006E045D" w:rsidRDefault="00930350" w:rsidP="00930350">
            <w:pPr>
              <w:spacing w:after="0" w:line="240" w:lineRule="auto"/>
              <w:jc w:val="both"/>
              <w:rPr>
                <w:rFonts w:ascii="Helvetica" w:eastAsia="Times New Roman" w:hAnsi="Helvetica" w:cs="Helvetica"/>
                <w:b/>
                <w:color w:val="222222"/>
                <w:sz w:val="24"/>
                <w:szCs w:val="24"/>
                <w:lang w:eastAsia="es-CO"/>
              </w:rPr>
            </w:pPr>
            <w:r w:rsidRPr="006E045D">
              <w:rPr>
                <w:rFonts w:ascii="Helvetica" w:eastAsia="Times New Roman" w:hAnsi="Helvetica" w:cs="Helvetica"/>
                <w:b/>
                <w:color w:val="222222"/>
                <w:sz w:val="24"/>
                <w:szCs w:val="24"/>
                <w:lang w:eastAsia="es-CO"/>
              </w:rPr>
              <w:t>Obtenci</w:t>
            </w:r>
            <w:r>
              <w:rPr>
                <w:rFonts w:ascii="Helvetica" w:eastAsia="Times New Roman" w:hAnsi="Helvetica" w:cs="Helvetica"/>
                <w:b/>
                <w:color w:val="222222"/>
                <w:sz w:val="24"/>
                <w:szCs w:val="24"/>
                <w:lang w:eastAsia="es-CO"/>
              </w:rPr>
              <w:t>ón de extractos naturales</w:t>
            </w:r>
          </w:p>
          <w:p w14:paraId="236F589C" w14:textId="14E0BFB5" w:rsidR="00930350" w:rsidRDefault="00930350" w:rsidP="0093035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Para el método Soxhlet, 4 g del material vegetal seco serán cargados en un soporte de celulosa. Como solvente de extracción se emplearán 150 mL de una mezcla etanol/agua</w:t>
            </w:r>
            <w:r w:rsidR="00C1561A">
              <w:rPr>
                <w:rFonts w:ascii="Helvetica" w:eastAsia="Times New Roman" w:hAnsi="Helvetica" w:cs="Helvetica"/>
                <w:color w:val="222222"/>
                <w:sz w:val="24"/>
                <w:szCs w:val="24"/>
                <w:lang w:eastAsia="es-CO"/>
              </w:rPr>
              <w:t xml:space="preserve">. Se evaluarán distintas proporciones de etanol/agua (25/75, 50/50, 75/25 y 100/0) por duplicado. </w:t>
            </w:r>
            <w:r>
              <w:rPr>
                <w:rFonts w:ascii="Helvetica" w:eastAsia="Times New Roman" w:hAnsi="Helvetica" w:cs="Helvetica"/>
                <w:color w:val="222222"/>
                <w:sz w:val="24"/>
                <w:szCs w:val="24"/>
                <w:lang w:eastAsia="es-CO"/>
              </w:rPr>
              <w:t xml:space="preserve">La extracción se llevará a cabo </w:t>
            </w:r>
            <w:r w:rsidR="00C1561A">
              <w:rPr>
                <w:rFonts w:ascii="Helvetica" w:eastAsia="Times New Roman" w:hAnsi="Helvetica" w:cs="Helvetica"/>
                <w:color w:val="222222"/>
                <w:sz w:val="24"/>
                <w:szCs w:val="24"/>
                <w:lang w:eastAsia="es-CO"/>
              </w:rPr>
              <w:t xml:space="preserve">durante dos horas; se tomarán muestras cada 15 minutos para ser determinada la absorbancia en espectrofotómetro. Una vez definidas las condiciones de extracción, se realizará la extracción de una muestra del material y se filtrará para quedarse con el extracto, el cual será sometido a condiciones de evaporación al vacío a </w:t>
            </w:r>
            <w:r>
              <w:rPr>
                <w:rFonts w:ascii="Helvetica" w:eastAsia="Times New Roman" w:hAnsi="Helvetica" w:cs="Helvetica"/>
                <w:color w:val="222222"/>
                <w:sz w:val="24"/>
                <w:szCs w:val="24"/>
                <w:lang w:eastAsia="es-CO"/>
              </w:rPr>
              <w:t>40ºC (</w:t>
            </w:r>
            <w:r w:rsidR="0073569B" w:rsidRPr="0073569B">
              <w:rPr>
                <w:rFonts w:ascii="Helvetica" w:eastAsia="Times New Roman" w:hAnsi="Helvetica" w:cs="Helvetica"/>
                <w:color w:val="222222"/>
                <w:sz w:val="24"/>
                <w:szCs w:val="24"/>
                <w:lang w:eastAsia="es-CO"/>
              </w:rPr>
              <w:t>Hei-VAP Advantage</w:t>
            </w:r>
            <w:r w:rsidR="0073569B">
              <w:rPr>
                <w:rFonts w:ascii="Helvetica" w:eastAsia="Times New Roman" w:hAnsi="Helvetica" w:cs="Helvetica"/>
                <w:color w:val="222222"/>
                <w:sz w:val="24"/>
                <w:szCs w:val="24"/>
                <w:lang w:eastAsia="es-CO"/>
              </w:rPr>
              <w:t xml:space="preserve">, </w:t>
            </w:r>
            <w:r w:rsidR="0073569B" w:rsidRPr="00A55040">
              <w:rPr>
                <w:rFonts w:ascii="Helvetica" w:eastAsia="Times New Roman" w:hAnsi="Helvetica" w:cs="Helvetica"/>
                <w:sz w:val="24"/>
                <w:szCs w:val="24"/>
                <w:lang w:eastAsia="es-CO"/>
              </w:rPr>
              <w:t>Heidolph</w:t>
            </w:r>
            <w:r>
              <w:rPr>
                <w:rFonts w:ascii="Helvetica" w:eastAsia="Times New Roman" w:hAnsi="Helvetica" w:cs="Helvetica"/>
                <w:color w:val="222222"/>
                <w:sz w:val="24"/>
                <w:szCs w:val="24"/>
                <w:lang w:eastAsia="es-CO"/>
              </w:rPr>
              <w:t xml:space="preserve">). </w:t>
            </w:r>
            <w:r w:rsidR="00C1561A">
              <w:rPr>
                <w:rFonts w:ascii="Helvetica" w:eastAsia="Times New Roman" w:hAnsi="Helvetica" w:cs="Helvetica"/>
                <w:color w:val="222222"/>
                <w:sz w:val="24"/>
                <w:szCs w:val="24"/>
                <w:lang w:eastAsia="es-CO"/>
              </w:rPr>
              <w:t>De esta manera se reportará el porcentaje de extracto.</w:t>
            </w:r>
          </w:p>
          <w:p w14:paraId="01A7100C" w14:textId="77777777" w:rsidR="00930350" w:rsidRDefault="00930350" w:rsidP="00930350">
            <w:pPr>
              <w:spacing w:after="0" w:line="240" w:lineRule="auto"/>
              <w:jc w:val="both"/>
              <w:rPr>
                <w:rFonts w:ascii="Helvetica" w:eastAsia="Times New Roman" w:hAnsi="Helvetica" w:cs="Helvetica"/>
                <w:color w:val="222222"/>
                <w:sz w:val="24"/>
                <w:szCs w:val="24"/>
                <w:lang w:eastAsia="es-CO"/>
              </w:rPr>
            </w:pPr>
          </w:p>
          <w:p w14:paraId="011F58C1" w14:textId="77777777" w:rsidR="00930350" w:rsidRPr="00063287" w:rsidRDefault="00930350" w:rsidP="00930350">
            <w:pPr>
              <w:spacing w:after="0" w:line="240" w:lineRule="auto"/>
              <w:jc w:val="both"/>
              <w:rPr>
                <w:rFonts w:ascii="Helvetica" w:eastAsia="Times New Roman" w:hAnsi="Helvetica" w:cs="Helvetica"/>
                <w:b/>
                <w:color w:val="222222"/>
                <w:sz w:val="24"/>
                <w:szCs w:val="24"/>
                <w:lang w:eastAsia="es-CO"/>
              </w:rPr>
            </w:pPr>
            <w:r w:rsidRPr="00063287">
              <w:rPr>
                <w:rFonts w:ascii="Helvetica" w:eastAsia="Times New Roman" w:hAnsi="Helvetica" w:cs="Helvetica"/>
                <w:b/>
                <w:color w:val="222222"/>
                <w:sz w:val="24"/>
                <w:szCs w:val="24"/>
                <w:lang w:eastAsia="es-CO"/>
              </w:rPr>
              <w:t>Obtención de extractos naturales por hidrocavitación</w:t>
            </w:r>
          </w:p>
          <w:p w14:paraId="56C07E62" w14:textId="732CB8F9" w:rsidR="00930350" w:rsidRPr="00891C49" w:rsidRDefault="00C1561A" w:rsidP="00930350">
            <w:pPr>
              <w:spacing w:after="0" w:line="240" w:lineRule="auto"/>
              <w:jc w:val="both"/>
              <w:rPr>
                <w:rFonts w:ascii="Helvetica" w:eastAsia="Times New Roman" w:hAnsi="Helvetica" w:cs="Helvetica"/>
                <w:sz w:val="24"/>
                <w:szCs w:val="24"/>
                <w:lang w:eastAsia="es-CO"/>
              </w:rPr>
            </w:pPr>
            <w:r w:rsidRPr="00891C49">
              <w:rPr>
                <w:rFonts w:ascii="Helvetica" w:eastAsia="Times New Roman" w:hAnsi="Helvetica" w:cs="Helvetica"/>
                <w:sz w:val="24"/>
                <w:szCs w:val="24"/>
                <w:lang w:eastAsia="es-CO"/>
              </w:rPr>
              <w:t>Se evaluarán</w:t>
            </w:r>
            <w:r>
              <w:rPr>
                <w:rFonts w:ascii="Helvetica" w:eastAsia="Times New Roman" w:hAnsi="Helvetica" w:cs="Helvetica"/>
                <w:sz w:val="24"/>
                <w:szCs w:val="24"/>
                <w:lang w:eastAsia="es-CO"/>
              </w:rPr>
              <w:t xml:space="preserve"> al menos 5 relaciones de material seco de ortiga y agraz a solvente. Para ello se pesará el material a extraer y se colocará en el equipo de hidrocavitación. Se adicionará el solvente requerido, acorde al diseño experimental. Se podrá a funcionar el equipo en condiciones de presión que garanticen la extracción, teniendo en cuenta la diferencia de presión antes del reactor de hidrocavitación y después de pasar a través de él. Se</w:t>
            </w:r>
            <w:r w:rsidR="00E45CFC">
              <w:rPr>
                <w:rFonts w:ascii="Helvetica" w:eastAsia="Times New Roman" w:hAnsi="Helvetica" w:cs="Helvetica"/>
                <w:sz w:val="24"/>
                <w:szCs w:val="24"/>
                <w:lang w:eastAsia="es-CO"/>
              </w:rPr>
              <w:t xml:space="preserve"> registrará la temperatura, caudal, presión y potencia eléctrica a través del tiempo. Adicionalmente cada 5 minutos se tomarán muestras de 100 ml para registrar el contenido de extractos empleando evaporación al vacío. Para los dos extractos se realizará un diseño experimental y se determinará la relación material seco a solvente requerido para realizar la extracción, así como el tiempo requerido para llevarla a cabo. </w:t>
            </w:r>
          </w:p>
          <w:p w14:paraId="31BD680E" w14:textId="77777777" w:rsidR="0000502E" w:rsidRPr="00891C49" w:rsidRDefault="0000502E" w:rsidP="00930350">
            <w:pPr>
              <w:spacing w:after="0" w:line="240" w:lineRule="auto"/>
              <w:jc w:val="both"/>
              <w:rPr>
                <w:rFonts w:ascii="Helvetica" w:eastAsia="Times New Roman" w:hAnsi="Helvetica" w:cs="Helvetica"/>
                <w:sz w:val="24"/>
                <w:szCs w:val="24"/>
                <w:lang w:eastAsia="es-CO"/>
              </w:rPr>
            </w:pPr>
          </w:p>
          <w:p w14:paraId="4A4DB934" w14:textId="77777777" w:rsidR="00470E5A" w:rsidRPr="00891C49" w:rsidRDefault="00470E5A" w:rsidP="00470E5A">
            <w:pPr>
              <w:pStyle w:val="Prrafodelista"/>
              <w:numPr>
                <w:ilvl w:val="0"/>
                <w:numId w:val="7"/>
              </w:numPr>
              <w:spacing w:after="0" w:line="240" w:lineRule="auto"/>
              <w:jc w:val="both"/>
              <w:rPr>
                <w:rFonts w:ascii="Helvetica" w:eastAsia="Times New Roman" w:hAnsi="Helvetica" w:cs="Helvetica"/>
                <w:b/>
                <w:sz w:val="24"/>
                <w:szCs w:val="24"/>
                <w:lang w:eastAsia="es-CO"/>
              </w:rPr>
            </w:pPr>
            <w:r w:rsidRPr="00891C49">
              <w:rPr>
                <w:rFonts w:ascii="Helvetica" w:eastAsia="Times New Roman" w:hAnsi="Helvetica" w:cs="Helvetica"/>
                <w:b/>
                <w:sz w:val="24"/>
                <w:szCs w:val="24"/>
                <w:lang w:eastAsia="es-CO"/>
              </w:rPr>
              <w:t>Caracterización de extractos obtenidos.</w:t>
            </w:r>
          </w:p>
          <w:p w14:paraId="22C6CABF" w14:textId="77777777" w:rsidR="00470E5A" w:rsidRPr="00891C49" w:rsidRDefault="00470E5A" w:rsidP="00470E5A">
            <w:pPr>
              <w:pStyle w:val="Prrafodelista"/>
              <w:spacing w:after="0" w:line="240" w:lineRule="auto"/>
              <w:jc w:val="both"/>
              <w:rPr>
                <w:rFonts w:ascii="Helvetica" w:eastAsia="Times New Roman" w:hAnsi="Helvetica" w:cs="Helvetica"/>
                <w:sz w:val="24"/>
                <w:szCs w:val="24"/>
                <w:lang w:eastAsia="es-CO"/>
              </w:rPr>
            </w:pPr>
          </w:p>
          <w:p w14:paraId="3F5CC679" w14:textId="77777777" w:rsidR="0000502E" w:rsidRPr="006E045D" w:rsidRDefault="0000502E" w:rsidP="0000502E">
            <w:pPr>
              <w:spacing w:after="0" w:line="240" w:lineRule="auto"/>
              <w:jc w:val="both"/>
              <w:rPr>
                <w:rFonts w:ascii="Helvetica" w:eastAsia="Times New Roman" w:hAnsi="Helvetica" w:cs="Helvetica"/>
                <w:b/>
                <w:color w:val="222222"/>
                <w:sz w:val="24"/>
                <w:szCs w:val="24"/>
                <w:lang w:eastAsia="es-CO"/>
              </w:rPr>
            </w:pPr>
            <w:r>
              <w:rPr>
                <w:rFonts w:ascii="Helvetica" w:eastAsia="Times New Roman" w:hAnsi="Helvetica" w:cs="Helvetica"/>
                <w:b/>
                <w:color w:val="222222"/>
                <w:sz w:val="24"/>
                <w:szCs w:val="24"/>
                <w:lang w:eastAsia="es-CO"/>
              </w:rPr>
              <w:t>Caracterización de ortiga</w:t>
            </w:r>
          </w:p>
          <w:p w14:paraId="64DFC630" w14:textId="6B3CE9C9" w:rsidR="009B63DB" w:rsidRDefault="0000502E" w:rsidP="001A7DF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La ortiga será caracterizada de acuerdo con los métodos reportados por</w:t>
            </w:r>
            <w:r w:rsidR="006F76C7">
              <w:rPr>
                <w:rFonts w:ascii="Helvetica" w:eastAsia="Times New Roman" w:hAnsi="Helvetica" w:cs="Helvetica"/>
                <w:color w:val="222222"/>
                <w:sz w:val="24"/>
                <w:szCs w:val="24"/>
                <w:lang w:eastAsia="es-CO"/>
              </w:rPr>
              <w:t xml:space="preserve"> </w:t>
            </w:r>
            <w:r w:rsidR="006F76C7" w:rsidRPr="006A742C">
              <w:rPr>
                <w:rFonts w:ascii="Helvetica" w:eastAsia="Times New Roman" w:hAnsi="Helvetica" w:cs="Helvetica"/>
                <w:color w:val="222222"/>
                <w:sz w:val="24"/>
                <w:szCs w:val="24"/>
                <w:lang w:eastAsia="es-CO"/>
              </w:rPr>
              <w:t>Đurović</w:t>
            </w:r>
            <w:r w:rsidR="006F76C7">
              <w:rPr>
                <w:rFonts w:ascii="Helvetica" w:eastAsia="Times New Roman" w:hAnsi="Helvetica" w:cs="Helvetica"/>
                <w:color w:val="222222"/>
                <w:sz w:val="24"/>
                <w:szCs w:val="24"/>
                <w:lang w:eastAsia="es-CO"/>
              </w:rPr>
              <w:t xml:space="preserve"> et al </w:t>
            </w:r>
            <w:r w:rsidR="006F76C7">
              <w:rPr>
                <w:rFonts w:ascii="Helvetica" w:eastAsia="Times New Roman" w:hAnsi="Helvetica" w:cs="Helvetica"/>
                <w:color w:val="222222"/>
                <w:sz w:val="24"/>
                <w:szCs w:val="24"/>
                <w:lang w:eastAsia="es-CO"/>
              </w:rPr>
              <w:fldChar w:fldCharType="begin" w:fldLock="1"/>
            </w:r>
            <w:r w:rsidR="00B02898">
              <w:rPr>
                <w:rFonts w:ascii="Helvetica" w:eastAsia="Times New Roman" w:hAnsi="Helvetica" w:cs="Helvetica"/>
                <w:color w:val="222222"/>
                <w:sz w:val="24"/>
                <w:szCs w:val="24"/>
                <w:lang w:eastAsia="es-CO"/>
              </w:rPr>
              <w:instrText>ADDIN CSL_CITATION {"citationItems":[{"id":"ITEM-1","itemData":{"DOI":"10.1016/j.jff.2017.02.019","ISSN":"17564646","abstract":"Urtica dioica L. (stinging nettle) is annual plant which possesses wide range of biological effects and being used in folk medicine since the ancient times. Despite the numerous studies concerning the biological activities of this plant, there are only several studies regarding the chemical composition of stinging nettle (SN) leaves. Deeper chemical investigation revealed the presence of different class of compounds (polyphenols, phenolic acids, fatty acids, carotenoids, elements and minerals) in SN leaves. Results showed the chlorophylls and carotenoids contents of 304.63 mg 100 g −1 and 69.07 mg 100 g −1 , respectively. The most abundant fatty acids were C18:3 (67.98 µg g −1 ), C16:0 (60.97 µg g −1 ) and C18:2 (55.99 µg g −1 ), among terpenes linalool was dominant compound (5.1 mg g −1 ), while dominant trace element was iron with the content of 150.97 µg g −1 . Such chemical profile is significant and indicate the wide range of possible further usage of this plant.","author":[{"dropping-particle":"","family":"Đurović","given":"Saša","non-dropping-particle":"","parse-names":false,"suffix":""},{"dropping-particle":"","family":"Pavlić","given":"Branimir","non-dropping-particle":"","parse-names":false,"suffix":""},{"dropping-particle":"","family":"Šorgić","given":"Saša","non-dropping-particle":"","parse-names":false,"suffix":""},{"dropping-particle":"","family":"Popov","given":"Saša","non-dropping-particle":"","parse-names":false,"suffix":""},{"dropping-particle":"","family":"Savić","given":"Saša","non-dropping-particle":"","parse-names":false,"suffix":""},{"dropping-particle":"","family":"Pertonijević","given":"Mirjana","non-dropping-particle":"","parse-names":false,"suffix":""},{"dropping-particle":"","family":"Radojković","given":"Marija","non-dropping-particle":"","parse-names":false,"suffix":""},{"dropping-particle":"","family":"Cvetanović","given":"Aleksandra","non-dropping-particle":"","parse-names":false,"suffix":""},{"dropping-particle":"","family":"Zeković","given":"Zoran","non-dropping-particle":"","parse-names":false,"suffix":""}],"container-title":"Journal of Functional Foods","id":"ITEM-1","issued":{"date-parts":[["2017"]]},"page":"18-26","title":"Chemical composition of stinging nettle leaves obtained by different analytical approaches","type":"article-journal","volume":"32"},"uris":["http://www.mendeley.com/documents/?uuid=b2a237cb-a582-42b0-8ed3-600b36c86968"]}],"mendeley":{"formattedCitation":"&lt;sup&gt;18&lt;/sup&gt;","plainTextFormattedCitation":"18","previouslyFormattedCitation":"&lt;sup&gt;17&lt;/sup&gt;"},"properties":{"noteIndex":0},"schema":"https://github.com/citation-style-language/schema/raw/master/csl-citation.json"}</w:instrText>
            </w:r>
            <w:r w:rsidR="006F76C7">
              <w:rPr>
                <w:rFonts w:ascii="Helvetica" w:eastAsia="Times New Roman" w:hAnsi="Helvetica" w:cs="Helvetica"/>
                <w:color w:val="222222"/>
                <w:sz w:val="24"/>
                <w:szCs w:val="24"/>
                <w:lang w:eastAsia="es-CO"/>
              </w:rPr>
              <w:fldChar w:fldCharType="separate"/>
            </w:r>
            <w:r w:rsidR="00B02898" w:rsidRPr="00B02898">
              <w:rPr>
                <w:rFonts w:ascii="Helvetica" w:eastAsia="Times New Roman" w:hAnsi="Helvetica" w:cs="Helvetica"/>
                <w:noProof/>
                <w:color w:val="222222"/>
                <w:sz w:val="24"/>
                <w:szCs w:val="24"/>
                <w:vertAlign w:val="superscript"/>
                <w:lang w:eastAsia="es-CO"/>
              </w:rPr>
              <w:t>18</w:t>
            </w:r>
            <w:r w:rsidR="006F76C7">
              <w:rPr>
                <w:rFonts w:ascii="Helvetica" w:eastAsia="Times New Roman" w:hAnsi="Helvetica" w:cs="Helvetica"/>
                <w:color w:val="222222"/>
                <w:sz w:val="24"/>
                <w:szCs w:val="24"/>
                <w:lang w:eastAsia="es-CO"/>
              </w:rPr>
              <w:fldChar w:fldCharType="end"/>
            </w:r>
            <w:r w:rsidR="006F76C7">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w:t>
            </w:r>
            <w:r w:rsidR="006F76C7">
              <w:rPr>
                <w:rFonts w:ascii="Helvetica" w:eastAsia="Times New Roman" w:hAnsi="Helvetica" w:cs="Helvetica"/>
                <w:color w:val="222222"/>
                <w:sz w:val="24"/>
                <w:szCs w:val="24"/>
                <w:lang w:eastAsia="es-CO"/>
              </w:rPr>
              <w:t>El contenido de terpenos y de ácidos grasos se</w:t>
            </w:r>
            <w:r w:rsidR="001A7DFA">
              <w:rPr>
                <w:rFonts w:ascii="Helvetica" w:eastAsia="Times New Roman" w:hAnsi="Helvetica" w:cs="Helvetica"/>
                <w:color w:val="222222"/>
                <w:sz w:val="24"/>
                <w:szCs w:val="24"/>
                <w:lang w:eastAsia="es-CO"/>
              </w:rPr>
              <w:t>rá</w:t>
            </w:r>
            <w:r w:rsidR="006F76C7">
              <w:rPr>
                <w:rFonts w:ascii="Helvetica" w:eastAsia="Times New Roman" w:hAnsi="Helvetica" w:cs="Helvetica"/>
                <w:color w:val="222222"/>
                <w:sz w:val="24"/>
                <w:szCs w:val="24"/>
                <w:lang w:eastAsia="es-CO"/>
              </w:rPr>
              <w:t xml:space="preserve"> determinado por </w:t>
            </w:r>
            <w:r w:rsidR="0070183A">
              <w:rPr>
                <w:rFonts w:ascii="Helvetica" w:eastAsia="Times New Roman" w:hAnsi="Helvetica" w:cs="Helvetica"/>
                <w:color w:val="222222"/>
                <w:sz w:val="24"/>
                <w:szCs w:val="24"/>
                <w:lang w:eastAsia="es-CO"/>
              </w:rPr>
              <w:t>c</w:t>
            </w:r>
            <w:r w:rsidR="006F76C7">
              <w:rPr>
                <w:rFonts w:ascii="Helvetica" w:eastAsia="Times New Roman" w:hAnsi="Helvetica" w:cs="Helvetica"/>
                <w:color w:val="222222"/>
                <w:sz w:val="24"/>
                <w:szCs w:val="24"/>
                <w:lang w:eastAsia="es-CO"/>
              </w:rPr>
              <w:t>romatografía de gases</w:t>
            </w:r>
            <w:r w:rsidR="0070183A">
              <w:rPr>
                <w:rFonts w:ascii="Helvetica" w:eastAsia="Times New Roman" w:hAnsi="Helvetica" w:cs="Helvetica"/>
                <w:color w:val="222222"/>
                <w:sz w:val="24"/>
                <w:szCs w:val="24"/>
                <w:lang w:eastAsia="es-CO"/>
              </w:rPr>
              <w:t xml:space="preserve"> (GC)</w:t>
            </w:r>
            <w:r w:rsidR="006F76C7">
              <w:rPr>
                <w:rFonts w:ascii="Helvetica" w:eastAsia="Times New Roman" w:hAnsi="Helvetica" w:cs="Helvetica"/>
                <w:color w:val="222222"/>
                <w:sz w:val="24"/>
                <w:szCs w:val="24"/>
                <w:lang w:eastAsia="es-CO"/>
              </w:rPr>
              <w:t xml:space="preserve">, a través de servicios técnicos elaborados por terceros. </w:t>
            </w:r>
            <w:r w:rsidR="0070183A">
              <w:rPr>
                <w:rFonts w:ascii="Helvetica" w:eastAsia="Times New Roman" w:hAnsi="Helvetica" w:cs="Helvetica"/>
                <w:color w:val="222222"/>
                <w:sz w:val="24"/>
                <w:szCs w:val="24"/>
                <w:lang w:eastAsia="es-CO"/>
              </w:rPr>
              <w:t xml:space="preserve">En el primer caso, se empleará </w:t>
            </w:r>
            <w:r w:rsidR="009B63DB">
              <w:rPr>
                <w:rFonts w:ascii="Helvetica" w:eastAsia="Times New Roman" w:hAnsi="Helvetica" w:cs="Helvetica"/>
                <w:color w:val="222222"/>
                <w:sz w:val="24"/>
                <w:szCs w:val="24"/>
                <w:lang w:eastAsia="es-CO"/>
              </w:rPr>
              <w:t xml:space="preserve">el extracto obtenido por hidrodestilación y se usará </w:t>
            </w:r>
            <w:r w:rsidR="0070183A">
              <w:rPr>
                <w:rFonts w:ascii="Helvetica" w:eastAsia="Times New Roman" w:hAnsi="Helvetica" w:cs="Helvetica"/>
                <w:color w:val="222222"/>
                <w:sz w:val="24"/>
                <w:szCs w:val="24"/>
                <w:lang w:eastAsia="es-CO"/>
              </w:rPr>
              <w:t xml:space="preserve">un detector FID y un detector de masas con una columna </w:t>
            </w:r>
            <w:r w:rsidR="0070183A" w:rsidRPr="0070183A">
              <w:rPr>
                <w:rFonts w:ascii="Helvetica" w:eastAsia="Times New Roman" w:hAnsi="Helvetica" w:cs="Helvetica"/>
                <w:color w:val="222222"/>
                <w:sz w:val="24"/>
                <w:szCs w:val="24"/>
                <w:lang w:eastAsia="es-CO"/>
              </w:rPr>
              <w:t>HP-5MS</w:t>
            </w:r>
            <w:r w:rsidR="0070183A">
              <w:rPr>
                <w:rFonts w:ascii="Helvetica" w:eastAsia="Times New Roman" w:hAnsi="Helvetica" w:cs="Helvetica"/>
                <w:color w:val="222222"/>
                <w:sz w:val="24"/>
                <w:szCs w:val="24"/>
                <w:lang w:eastAsia="es-CO"/>
              </w:rPr>
              <w:t xml:space="preserve"> (30 m, 0.25 mm ID, 0.25 µm) y usando He como gas de arrastre a un flujo de 2 mL min</w:t>
            </w:r>
            <w:r w:rsidR="0070183A" w:rsidRPr="00891C49">
              <w:rPr>
                <w:rFonts w:ascii="Helvetica" w:eastAsia="Times New Roman" w:hAnsi="Helvetica" w:cs="Helvetica"/>
                <w:color w:val="222222"/>
                <w:sz w:val="24"/>
                <w:szCs w:val="24"/>
                <w:vertAlign w:val="superscript"/>
                <w:lang w:eastAsia="es-CO"/>
              </w:rPr>
              <w:t>-1</w:t>
            </w:r>
            <w:r w:rsidR="0070183A">
              <w:rPr>
                <w:rFonts w:ascii="Helvetica" w:eastAsia="Times New Roman" w:hAnsi="Helvetica" w:cs="Helvetica"/>
                <w:color w:val="222222"/>
                <w:sz w:val="24"/>
                <w:szCs w:val="24"/>
                <w:lang w:eastAsia="es-CO"/>
              </w:rPr>
              <w:t>. L</w:t>
            </w:r>
            <w:r w:rsidR="00F90E18">
              <w:rPr>
                <w:rFonts w:ascii="Helvetica" w:eastAsia="Times New Roman" w:hAnsi="Helvetica" w:cs="Helvetica"/>
                <w:color w:val="222222"/>
                <w:sz w:val="24"/>
                <w:szCs w:val="24"/>
                <w:lang w:eastAsia="es-CO"/>
              </w:rPr>
              <w:t>as temperaturas d</w:t>
            </w:r>
            <w:r w:rsidR="0070183A">
              <w:rPr>
                <w:rFonts w:ascii="Helvetica" w:eastAsia="Times New Roman" w:hAnsi="Helvetica" w:cs="Helvetica"/>
                <w:color w:val="222222"/>
                <w:sz w:val="24"/>
                <w:szCs w:val="24"/>
                <w:lang w:eastAsia="es-CO"/>
              </w:rPr>
              <w:t>e trabajo serán las siguientes: inyector 250ºC, detect</w:t>
            </w:r>
            <w:r w:rsidR="00542258">
              <w:rPr>
                <w:rFonts w:ascii="Helvetica" w:eastAsia="Times New Roman" w:hAnsi="Helvetica" w:cs="Helvetica"/>
                <w:color w:val="222222"/>
                <w:sz w:val="24"/>
                <w:szCs w:val="24"/>
                <w:lang w:eastAsia="es-CO"/>
              </w:rPr>
              <w:t>o</w:t>
            </w:r>
            <w:r w:rsidR="0070183A">
              <w:rPr>
                <w:rFonts w:ascii="Helvetica" w:eastAsia="Times New Roman" w:hAnsi="Helvetica" w:cs="Helvetica"/>
                <w:color w:val="222222"/>
                <w:sz w:val="24"/>
                <w:szCs w:val="24"/>
                <w:lang w:eastAsia="es-CO"/>
              </w:rPr>
              <w:t>r 300ºC, horno iniciando en 60ºC con un incremento lineal de 4ºC min</w:t>
            </w:r>
            <w:r w:rsidR="0070183A" w:rsidRPr="00891C49">
              <w:rPr>
                <w:rFonts w:ascii="Helvetica" w:eastAsia="Times New Roman" w:hAnsi="Helvetica" w:cs="Helvetica"/>
                <w:color w:val="222222"/>
                <w:sz w:val="24"/>
                <w:szCs w:val="24"/>
                <w:vertAlign w:val="superscript"/>
                <w:lang w:eastAsia="es-CO"/>
              </w:rPr>
              <w:t>-1</w:t>
            </w:r>
            <w:r w:rsidR="0070183A">
              <w:rPr>
                <w:rFonts w:ascii="Helvetica" w:eastAsia="Times New Roman" w:hAnsi="Helvetica" w:cs="Helvetica"/>
                <w:color w:val="222222"/>
                <w:sz w:val="24"/>
                <w:szCs w:val="24"/>
                <w:lang w:eastAsia="es-CO"/>
              </w:rPr>
              <w:t xml:space="preserve"> hasta alcanzar 150ºC. </w:t>
            </w:r>
            <w:r w:rsidR="009B63DB">
              <w:rPr>
                <w:rFonts w:ascii="Helvetica" w:eastAsia="Times New Roman" w:hAnsi="Helvetica" w:cs="Helvetica"/>
                <w:color w:val="222222"/>
                <w:sz w:val="24"/>
                <w:szCs w:val="24"/>
                <w:lang w:eastAsia="es-CO"/>
              </w:rPr>
              <w:t>De otro lado, la determinación de ácidos grasos se hará sobre un extracto obtenido con formaldehído y etanol a partir de las hojas de ortiga. Se empleará un detector FID y una columna CP-Sil 88 (100m, 0.25 mm DI, 0.2 µm) con N</w:t>
            </w:r>
            <w:r w:rsidR="009B63DB" w:rsidRPr="00891C49">
              <w:rPr>
                <w:rFonts w:ascii="Helvetica" w:eastAsia="Times New Roman" w:hAnsi="Helvetica" w:cs="Helvetica"/>
                <w:color w:val="222222"/>
                <w:sz w:val="24"/>
                <w:szCs w:val="24"/>
                <w:vertAlign w:val="subscript"/>
                <w:lang w:eastAsia="es-CO"/>
              </w:rPr>
              <w:t>2</w:t>
            </w:r>
            <w:r w:rsidR="009B63DB">
              <w:rPr>
                <w:rFonts w:ascii="Helvetica" w:eastAsia="Times New Roman" w:hAnsi="Helvetica" w:cs="Helvetica"/>
                <w:color w:val="222222"/>
                <w:sz w:val="24"/>
                <w:szCs w:val="24"/>
                <w:lang w:eastAsia="es-CO"/>
              </w:rPr>
              <w:t xml:space="preserve"> como ga</w:t>
            </w:r>
            <w:r w:rsidR="00F90E18">
              <w:rPr>
                <w:rFonts w:ascii="Helvetica" w:eastAsia="Times New Roman" w:hAnsi="Helvetica" w:cs="Helvetica"/>
                <w:color w:val="222222"/>
                <w:sz w:val="24"/>
                <w:szCs w:val="24"/>
                <w:lang w:eastAsia="es-CO"/>
              </w:rPr>
              <w:t>s de arrastre a un flujo de 1 mL</w:t>
            </w:r>
            <w:r w:rsidR="009B63DB">
              <w:rPr>
                <w:rFonts w:ascii="Helvetica" w:eastAsia="Times New Roman" w:hAnsi="Helvetica" w:cs="Helvetica"/>
                <w:color w:val="222222"/>
                <w:sz w:val="24"/>
                <w:szCs w:val="24"/>
                <w:lang w:eastAsia="es-CO"/>
              </w:rPr>
              <w:t xml:space="preserve"> min</w:t>
            </w:r>
            <w:r w:rsidR="009B63DB" w:rsidRPr="00891C49">
              <w:rPr>
                <w:rFonts w:ascii="Helvetica" w:eastAsia="Times New Roman" w:hAnsi="Helvetica" w:cs="Helvetica"/>
                <w:color w:val="222222"/>
                <w:sz w:val="24"/>
                <w:szCs w:val="24"/>
                <w:vertAlign w:val="superscript"/>
                <w:lang w:eastAsia="es-CO"/>
              </w:rPr>
              <w:t>-1</w:t>
            </w:r>
            <w:r w:rsidR="009B63DB">
              <w:rPr>
                <w:rFonts w:ascii="Helvetica" w:eastAsia="Times New Roman" w:hAnsi="Helvetica" w:cs="Helvetica"/>
                <w:color w:val="222222"/>
                <w:sz w:val="24"/>
                <w:szCs w:val="24"/>
                <w:lang w:eastAsia="es-CO"/>
              </w:rPr>
              <w:t>. El flujo de N</w:t>
            </w:r>
            <w:r w:rsidR="009B63DB" w:rsidRPr="00891C49">
              <w:rPr>
                <w:rFonts w:ascii="Helvetica" w:eastAsia="Times New Roman" w:hAnsi="Helvetica" w:cs="Helvetica"/>
                <w:color w:val="222222"/>
                <w:sz w:val="24"/>
                <w:szCs w:val="24"/>
                <w:vertAlign w:val="subscript"/>
                <w:lang w:eastAsia="es-CO"/>
              </w:rPr>
              <w:t>2</w:t>
            </w:r>
            <w:r w:rsidR="009B63DB">
              <w:rPr>
                <w:rFonts w:ascii="Helvetica" w:eastAsia="Times New Roman" w:hAnsi="Helvetica" w:cs="Helvetica"/>
                <w:color w:val="222222"/>
                <w:sz w:val="24"/>
                <w:szCs w:val="24"/>
                <w:lang w:eastAsia="es-CO"/>
              </w:rPr>
              <w:t xml:space="preserve"> en el detector será de 25 mL min</w:t>
            </w:r>
            <w:r w:rsidR="009B63DB" w:rsidRPr="00891C49">
              <w:rPr>
                <w:rFonts w:ascii="Helvetica" w:eastAsia="Times New Roman" w:hAnsi="Helvetica" w:cs="Helvetica"/>
                <w:color w:val="222222"/>
                <w:sz w:val="24"/>
                <w:szCs w:val="24"/>
                <w:vertAlign w:val="superscript"/>
                <w:lang w:eastAsia="es-CO"/>
              </w:rPr>
              <w:t>-1</w:t>
            </w:r>
            <w:r w:rsidR="009B63DB">
              <w:rPr>
                <w:rFonts w:ascii="Helvetica" w:eastAsia="Times New Roman" w:hAnsi="Helvetica" w:cs="Helvetica"/>
                <w:color w:val="222222"/>
                <w:sz w:val="24"/>
                <w:szCs w:val="24"/>
                <w:lang w:eastAsia="es-CO"/>
              </w:rPr>
              <w:t>, el de aire 400 mL min</w:t>
            </w:r>
            <w:r w:rsidR="009B63DB" w:rsidRPr="00891C49">
              <w:rPr>
                <w:rFonts w:ascii="Helvetica" w:eastAsia="Times New Roman" w:hAnsi="Helvetica" w:cs="Helvetica"/>
                <w:color w:val="222222"/>
                <w:sz w:val="24"/>
                <w:szCs w:val="24"/>
                <w:vertAlign w:val="superscript"/>
                <w:lang w:eastAsia="es-CO"/>
              </w:rPr>
              <w:t>-1</w:t>
            </w:r>
            <w:r w:rsidR="009B63DB">
              <w:rPr>
                <w:rFonts w:ascii="Helvetica" w:eastAsia="Times New Roman" w:hAnsi="Helvetica" w:cs="Helvetica"/>
                <w:color w:val="222222"/>
                <w:sz w:val="24"/>
                <w:szCs w:val="24"/>
                <w:lang w:eastAsia="es-CO"/>
              </w:rPr>
              <w:t xml:space="preserve"> y el de H</w:t>
            </w:r>
            <w:r w:rsidR="009B63DB" w:rsidRPr="00891C49">
              <w:rPr>
                <w:rFonts w:ascii="Helvetica" w:eastAsia="Times New Roman" w:hAnsi="Helvetica" w:cs="Helvetica"/>
                <w:color w:val="222222"/>
                <w:sz w:val="24"/>
                <w:szCs w:val="24"/>
                <w:vertAlign w:val="subscript"/>
                <w:lang w:eastAsia="es-CO"/>
              </w:rPr>
              <w:t>2</w:t>
            </w:r>
            <w:r w:rsidR="009B63DB">
              <w:rPr>
                <w:rFonts w:ascii="Helvetica" w:eastAsia="Times New Roman" w:hAnsi="Helvetica" w:cs="Helvetica"/>
                <w:color w:val="222222"/>
                <w:sz w:val="24"/>
                <w:szCs w:val="24"/>
                <w:lang w:eastAsia="es-CO"/>
              </w:rPr>
              <w:t xml:space="preserve"> 30 mL min</w:t>
            </w:r>
            <w:r w:rsidR="009B63DB" w:rsidRPr="00891C49">
              <w:rPr>
                <w:rFonts w:ascii="Helvetica" w:eastAsia="Times New Roman" w:hAnsi="Helvetica" w:cs="Helvetica"/>
                <w:color w:val="222222"/>
                <w:sz w:val="24"/>
                <w:szCs w:val="24"/>
                <w:vertAlign w:val="superscript"/>
                <w:lang w:eastAsia="es-CO"/>
              </w:rPr>
              <w:t>-1</w:t>
            </w:r>
            <w:r w:rsidR="009B63DB">
              <w:rPr>
                <w:rFonts w:ascii="Helvetica" w:eastAsia="Times New Roman" w:hAnsi="Helvetica" w:cs="Helvetica"/>
                <w:color w:val="222222"/>
                <w:sz w:val="24"/>
                <w:szCs w:val="24"/>
                <w:lang w:eastAsia="es-CO"/>
              </w:rPr>
              <w:t xml:space="preserve">. </w:t>
            </w:r>
            <w:r w:rsidR="00F90E18">
              <w:rPr>
                <w:rFonts w:ascii="Helvetica" w:eastAsia="Times New Roman" w:hAnsi="Helvetica" w:cs="Helvetica"/>
                <w:color w:val="222222"/>
                <w:sz w:val="24"/>
                <w:szCs w:val="24"/>
                <w:lang w:eastAsia="es-CO"/>
              </w:rPr>
              <w:t>Las temperaturas del cromatógra</w:t>
            </w:r>
            <w:r w:rsidR="009B63DB">
              <w:rPr>
                <w:rFonts w:ascii="Helvetica" w:eastAsia="Times New Roman" w:hAnsi="Helvetica" w:cs="Helvetica"/>
                <w:color w:val="222222"/>
                <w:sz w:val="24"/>
                <w:szCs w:val="24"/>
                <w:lang w:eastAsia="es-CO"/>
              </w:rPr>
              <w:t>fo serán las siguientes: inyector: 240ºC, detector 270ºC, temperatura inicial del horno 80ºC (por 0.5 min) con un incremento lineal de 4ºC min-1 hasta 220ºC. Esta temperatura se mantendrá por 4 min, luego se hará un nuevo incremento lineal de 4ºC min</w:t>
            </w:r>
            <w:r w:rsidR="009B63DB" w:rsidRPr="00891C49">
              <w:rPr>
                <w:rFonts w:ascii="Helvetica" w:eastAsia="Times New Roman" w:hAnsi="Helvetica" w:cs="Helvetica"/>
                <w:color w:val="222222"/>
                <w:sz w:val="24"/>
                <w:szCs w:val="24"/>
                <w:vertAlign w:val="superscript"/>
                <w:lang w:eastAsia="es-CO"/>
              </w:rPr>
              <w:t xml:space="preserve">-1 </w:t>
            </w:r>
            <w:r w:rsidR="009B63DB">
              <w:rPr>
                <w:rFonts w:ascii="Helvetica" w:eastAsia="Times New Roman" w:hAnsi="Helvetica" w:cs="Helvetica"/>
                <w:color w:val="222222"/>
                <w:sz w:val="24"/>
                <w:szCs w:val="24"/>
                <w:lang w:eastAsia="es-CO"/>
              </w:rPr>
              <w:t xml:space="preserve">hasta 240ºC, que se </w:t>
            </w:r>
            <w:r w:rsidR="00F90E18">
              <w:rPr>
                <w:rFonts w:ascii="Helvetica" w:eastAsia="Times New Roman" w:hAnsi="Helvetica" w:cs="Helvetica"/>
                <w:color w:val="222222"/>
                <w:sz w:val="24"/>
                <w:szCs w:val="24"/>
                <w:lang w:eastAsia="es-CO"/>
              </w:rPr>
              <w:t>mantendrá</w:t>
            </w:r>
            <w:r w:rsidR="009B63DB">
              <w:rPr>
                <w:rFonts w:ascii="Helvetica" w:eastAsia="Times New Roman" w:hAnsi="Helvetica" w:cs="Helvetica"/>
                <w:color w:val="222222"/>
                <w:sz w:val="24"/>
                <w:szCs w:val="24"/>
                <w:lang w:eastAsia="es-CO"/>
              </w:rPr>
              <w:t xml:space="preserve"> por 10 min.</w:t>
            </w:r>
          </w:p>
          <w:p w14:paraId="6536D590" w14:textId="65A58B1A" w:rsidR="001A7DFA" w:rsidRDefault="006F76C7" w:rsidP="001A7DF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Así mismo, el contenido de metales en las muestras será determinado por Absorción Atómica</w:t>
            </w:r>
            <w:r w:rsidR="001A7DFA">
              <w:rPr>
                <w:rFonts w:ascii="Helvetica" w:eastAsia="Times New Roman" w:hAnsi="Helvetica" w:cs="Helvetica"/>
                <w:color w:val="222222"/>
                <w:sz w:val="24"/>
                <w:szCs w:val="24"/>
                <w:lang w:eastAsia="es-CO"/>
              </w:rPr>
              <w:t>.</w:t>
            </w:r>
          </w:p>
          <w:p w14:paraId="03ABEBB4" w14:textId="738AA60F" w:rsidR="001A7DFA" w:rsidRDefault="001A7DFA" w:rsidP="001A7DF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Adicionalmente, la cuantificación de beta-carotenos se realizará por espectrofotometría de acuerdo con el procedimiento establecido </w:t>
            </w:r>
            <w:r w:rsidR="001A64BC">
              <w:rPr>
                <w:rFonts w:ascii="Helvetica" w:eastAsia="Times New Roman" w:hAnsi="Helvetica" w:cs="Helvetica"/>
                <w:color w:val="222222"/>
                <w:sz w:val="24"/>
                <w:szCs w:val="24"/>
                <w:lang w:eastAsia="es-CO"/>
              </w:rPr>
              <w:t>en la literatura</w:t>
            </w:r>
            <w:r>
              <w:rPr>
                <w:rFonts w:ascii="Helvetica" w:eastAsia="Times New Roman" w:hAnsi="Helvetica" w:cs="Helvetica"/>
                <w:color w:val="222222"/>
                <w:sz w:val="24"/>
                <w:szCs w:val="24"/>
                <w:lang w:eastAsia="es-CO"/>
              </w:rPr>
              <w:fldChar w:fldCharType="begin" w:fldLock="1"/>
            </w:r>
            <w:r w:rsidR="00B02898">
              <w:rPr>
                <w:rFonts w:ascii="Helvetica" w:eastAsia="Times New Roman" w:hAnsi="Helvetica" w:cs="Helvetica"/>
                <w:color w:val="222222"/>
                <w:sz w:val="24"/>
                <w:szCs w:val="24"/>
                <w:lang w:eastAsia="es-CO"/>
              </w:rPr>
              <w:instrText>ADDIN CSL_CITATION {"citationItems":[{"id":"ITEM-1","itemData":{"author":[{"dropping-particle":"","family":"Yanza","given":"Erik G.","non-dropping-particle":"","parse-names":false,"suffix":""},{"dropping-particle":"","family":"Maldonado","given":"Lida Y.","non-dropping-particle":"","parse-names":false,"suffix":""}],"container-title":"Revista de la Facultad de Ciencias Básicas","id":"ITEM-1","issue":"2","issued":{"date-parts":[["2012"]]},"page":"28-35","title":"Determinación del contenido de α-Tocoferol y β-Caroteno en el zumo y el liofilizado de tomate de arbol (Cyphomandra Betacea Cav Sendt )","type":"article-journal","volume":"10"},"uris":["http://www.mendeley.com/documents/?uuid=88e7a650-e2c7-478d-b083-96c89f3490f8","http://www.mendeley.com/documents/?uuid=7eeceb77-2920-417b-ad61-1ef1536532f5","http://www.mendeley.com/documents/?uuid=387f7f3d-2d39-4dd3-98bc-ec6a6d736072"]}],"mendeley":{"formattedCitation":"&lt;sup&gt;42&lt;/sup&gt;","plainTextFormattedCitation":"42","previouslyFormattedCitation":"&lt;sup&gt;41&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00B02898" w:rsidRPr="00B02898">
              <w:rPr>
                <w:rFonts w:ascii="Helvetica" w:eastAsia="Times New Roman" w:hAnsi="Helvetica" w:cs="Helvetica"/>
                <w:noProof/>
                <w:color w:val="222222"/>
                <w:sz w:val="24"/>
                <w:szCs w:val="24"/>
                <w:vertAlign w:val="superscript"/>
                <w:lang w:eastAsia="es-CO"/>
              </w:rPr>
              <w:t>42</w:t>
            </w:r>
            <w:r>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w:t>
            </w:r>
          </w:p>
          <w:p w14:paraId="757E0B90" w14:textId="77777777" w:rsidR="001A7DFA" w:rsidRDefault="001A7DFA" w:rsidP="0000502E">
            <w:pPr>
              <w:spacing w:after="0" w:line="240" w:lineRule="auto"/>
              <w:jc w:val="both"/>
              <w:rPr>
                <w:rFonts w:ascii="Helvetica" w:eastAsia="Times New Roman" w:hAnsi="Helvetica" w:cs="Helvetica"/>
                <w:color w:val="222222"/>
                <w:sz w:val="24"/>
                <w:szCs w:val="24"/>
                <w:lang w:eastAsia="es-CO"/>
              </w:rPr>
            </w:pPr>
          </w:p>
          <w:p w14:paraId="7F8E95D6" w14:textId="77777777" w:rsidR="001A7DFA" w:rsidRPr="006E045D" w:rsidRDefault="001A7DFA" w:rsidP="001A7DFA">
            <w:pPr>
              <w:spacing w:after="0" w:line="240" w:lineRule="auto"/>
              <w:jc w:val="both"/>
              <w:rPr>
                <w:rFonts w:ascii="Helvetica" w:eastAsia="Times New Roman" w:hAnsi="Helvetica" w:cs="Helvetica"/>
                <w:b/>
                <w:color w:val="222222"/>
                <w:sz w:val="24"/>
                <w:szCs w:val="24"/>
                <w:lang w:eastAsia="es-CO"/>
              </w:rPr>
            </w:pPr>
            <w:r>
              <w:rPr>
                <w:rFonts w:ascii="Helvetica" w:eastAsia="Times New Roman" w:hAnsi="Helvetica" w:cs="Helvetica"/>
                <w:b/>
                <w:color w:val="222222"/>
                <w:sz w:val="24"/>
                <w:szCs w:val="24"/>
                <w:lang w:eastAsia="es-CO"/>
              </w:rPr>
              <w:t>Caracterización de agraz</w:t>
            </w:r>
          </w:p>
          <w:p w14:paraId="3FCEA71E" w14:textId="2E015A6F" w:rsidR="00E6008D" w:rsidRDefault="001A7DF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 xml:space="preserve">El contenido de antocianinas en los extractos de agraz será determinado de acuerdo con el método estándar AOAC 2005.02 </w:t>
            </w:r>
            <w:r>
              <w:rPr>
                <w:rFonts w:ascii="Helvetica" w:eastAsia="Times New Roman" w:hAnsi="Helvetica" w:cs="Helvetica"/>
                <w:color w:val="222222"/>
                <w:sz w:val="24"/>
                <w:szCs w:val="24"/>
                <w:lang w:eastAsia="es-CO"/>
              </w:rPr>
              <w:fldChar w:fldCharType="begin" w:fldLock="1"/>
            </w:r>
            <w:r w:rsidR="00B02898">
              <w:rPr>
                <w:rFonts w:ascii="Helvetica" w:eastAsia="Times New Roman" w:hAnsi="Helvetica" w:cs="Helvetica"/>
                <w:color w:val="222222"/>
                <w:sz w:val="24"/>
                <w:szCs w:val="24"/>
                <w:lang w:eastAsia="es-CO"/>
              </w:rPr>
              <w:instrText>ADDIN CSL_CITATION {"citationItems":[{"id":"ITEM-1","itemData":{"abstract":"(Applicable to the determination of monomeric anthocyanins in fruit juices, beverages, natural colorants, and wines within the range of 20–3000 mg/L as cyanidin-3-glucoside equivalents.)","author":[{"dropping-particle":"","family":"AOAC","given":"","non-dropping-particle":"","parse-names":false,"suffix":""}],"id":"ITEM-1","issued":{"date-parts":[["2006"]]},"page":"2","title":"AOAC Official Method 2005.02 Total Monomeric Anthocyanin Pigment Content of Fruit Juices, Beverages, Natural Colorants, and Wines pH Differential Method","type":"article"},"uris":["http://www.mendeley.com/documents/?uuid=c1059b6b-c426-4d55-8844-1dc7966d9c09","http://www.mendeley.com/documents/?uuid=ea345b07-388d-4327-8a39-a9613bfc1dfd","http://www.mendeley.com/documents/?uuid=62190f1f-1e7c-4b92-9b2a-52392cdce5c8"]}],"mendeley":{"formattedCitation":"&lt;sup&gt;43&lt;/sup&gt;","plainTextFormattedCitation":"43","previouslyFormattedCitation":"&lt;sup&gt;42&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00B02898" w:rsidRPr="00B02898">
              <w:rPr>
                <w:rFonts w:ascii="Helvetica" w:eastAsia="Times New Roman" w:hAnsi="Helvetica" w:cs="Helvetica"/>
                <w:noProof/>
                <w:color w:val="222222"/>
                <w:sz w:val="24"/>
                <w:szCs w:val="24"/>
                <w:vertAlign w:val="superscript"/>
                <w:lang w:eastAsia="es-CO"/>
              </w:rPr>
              <w:t>43</w:t>
            </w:r>
            <w:r>
              <w:rPr>
                <w:rFonts w:ascii="Helvetica" w:eastAsia="Times New Roman" w:hAnsi="Helvetica" w:cs="Helvetica"/>
                <w:color w:val="222222"/>
                <w:sz w:val="24"/>
                <w:szCs w:val="24"/>
                <w:lang w:eastAsia="es-CO"/>
              </w:rPr>
              <w:fldChar w:fldCharType="end"/>
            </w:r>
            <w:r>
              <w:rPr>
                <w:rFonts w:ascii="Helvetica" w:eastAsia="Times New Roman" w:hAnsi="Helvetica" w:cs="Helvetica"/>
                <w:color w:val="222222"/>
                <w:sz w:val="24"/>
                <w:szCs w:val="24"/>
                <w:lang w:eastAsia="es-CO"/>
              </w:rPr>
              <w:t xml:space="preserve">. Así mismo, los fenoles totales </w:t>
            </w:r>
            <w:r w:rsidR="00B955FA">
              <w:rPr>
                <w:rFonts w:ascii="Helvetica" w:eastAsia="Times New Roman" w:hAnsi="Helvetica" w:cs="Helvetica"/>
                <w:color w:val="222222"/>
                <w:sz w:val="24"/>
                <w:szCs w:val="24"/>
                <w:lang w:eastAsia="es-CO"/>
              </w:rPr>
              <w:t xml:space="preserve">en los extractos </w:t>
            </w:r>
            <w:r>
              <w:rPr>
                <w:rFonts w:ascii="Helvetica" w:eastAsia="Times New Roman" w:hAnsi="Helvetica" w:cs="Helvetica"/>
                <w:color w:val="222222"/>
                <w:sz w:val="24"/>
                <w:szCs w:val="24"/>
                <w:lang w:eastAsia="es-CO"/>
              </w:rPr>
              <w:t xml:space="preserve">serán cuantificados por el método Folin-Ciocalteu de acuerdo con el procedimiento reportado por </w:t>
            </w:r>
            <w:r>
              <w:rPr>
                <w:rFonts w:ascii="Helvetica" w:eastAsia="Times New Roman" w:hAnsi="Helvetica" w:cs="Helvetica"/>
                <w:color w:val="222222"/>
                <w:sz w:val="24"/>
                <w:szCs w:val="24"/>
                <w:lang w:eastAsia="es-CO"/>
              </w:rPr>
              <w:fldChar w:fldCharType="begin" w:fldLock="1"/>
            </w:r>
            <w:r w:rsidR="00B02898">
              <w:rPr>
                <w:rFonts w:ascii="Helvetica" w:eastAsia="Times New Roman" w:hAnsi="Helvetica" w:cs="Helvetica"/>
                <w:color w:val="222222"/>
                <w:sz w:val="24"/>
                <w:szCs w:val="24"/>
                <w:lang w:eastAsia="es-CO"/>
              </w:rPr>
              <w:instrText>ADDIN CSL_CITATION {"citationItems":[{"id":"ITEM-1","itemData":{"DOI":"10.1016/j.foodchem.2010.03.017","ISSN":"03088146","abstract":"Berries of Vaccinium meridionale Swartz native to Colombia were analysed for chemical composition, total phenolic content, anthocyanin content, and antioxidant activity. In addition, high-performance liquid chromatography with photodiode array detection (HPLC-DAD) and HPLC-electrospray ionisation tandem mass spectrometry (ESI-MS/MS) were used to determine anthocyanin and phenolic composition. Anthocyanin content was 329.0 ± 28.0 mg cyanidin 3-glucoside equivalents/100 g (fresh weight) FW and total phenolic content was 758.6 ± 62.3 mg gallic acid equivalent/100 g FW. Cyanidin 3-galactoside was the major anthocyanin while the most abundant non-anthocyanin phenolic was chlorogenic acid. The ABTS radical scavenging activity was 45.5 ± 2.3 μmol Trolox equivalents/g FW and the ferric reducing antioxidant potential (FRAP) value was 87.0 ± 17.8 μmol TE/g FW or 116.0 ± 23.7 μmol ferric iron reduced/g FW. The unique anthocyanin composition of this fruit, as identified by classical techniques and ESI-MS/MS, can be differentiated from other bilberries and perhaps useful in authentification procedures. Overall, results from this study show that the fruit from Colombian wild bilberry has high antioxidant activity and potential applications as a source of phytochemicals in the nutraceutical and functional food market. © 2010 Elsevier Ltd. All rights reserved.","author":[{"dropping-particle":"","family":"Garzón","given":"G. A.","non-dropping-particle":"","parse-names":false,"suffix":""},{"dropping-particle":"","family":"Narváez","given":"C. E.","non-dropping-particle":"","parse-names":false,"suffix":""},{"dropping-particle":"","family":"Riedl","given":"K. M.","non-dropping-particle":"","parse-names":false,"suffix":""},{"dropping-particle":"","family":"Schwartz","given":"S. J.","non-dropping-particle":"","parse-names":false,"suffix":""}],"container-title":"Food Chemistry","id":"ITEM-1","issue":"4","issued":{"date-parts":[["2010"]]},"page":"980-986","publisher":"Elsevier Ltd","title":"Chemical composition, anthocyanins, non-anthocyanin phenolics and antioxidant activity of wild bilberry (Vaccinium meridionale Swartz) from Colombia","type":"article-journal","volume":"122"},"uris":["http://www.mendeley.com/documents/?uuid=ed5a0c16-11ab-4800-ac3b-51e5b0413f5c","http://www.mendeley.com/documents/?uuid=5e9e13f6-906a-42f4-a5b8-88c61a42355b","http://www.mendeley.com/documents/?uuid=10adc1e8-282d-43b3-8f3c-2de7ba2bdf73"]}],"mendeley":{"formattedCitation":"&lt;sup&gt;44&lt;/sup&gt;","plainTextFormattedCitation":"44","previouslyFormattedCitation":"&lt;sup&gt;43&lt;/sup&gt;"},"properties":{"noteIndex":0},"schema":"https://github.com/citation-style-language/schema/raw/master/csl-citation.json"}</w:instrText>
            </w:r>
            <w:r>
              <w:rPr>
                <w:rFonts w:ascii="Helvetica" w:eastAsia="Times New Roman" w:hAnsi="Helvetica" w:cs="Helvetica"/>
                <w:color w:val="222222"/>
                <w:sz w:val="24"/>
                <w:szCs w:val="24"/>
                <w:lang w:eastAsia="es-CO"/>
              </w:rPr>
              <w:fldChar w:fldCharType="separate"/>
            </w:r>
            <w:r w:rsidR="00B02898" w:rsidRPr="00B02898">
              <w:rPr>
                <w:rFonts w:ascii="Helvetica" w:eastAsia="Times New Roman" w:hAnsi="Helvetica" w:cs="Helvetica"/>
                <w:noProof/>
                <w:color w:val="222222"/>
                <w:sz w:val="24"/>
                <w:szCs w:val="24"/>
                <w:vertAlign w:val="superscript"/>
                <w:lang w:eastAsia="es-CO"/>
              </w:rPr>
              <w:t>44</w:t>
            </w:r>
            <w:r>
              <w:rPr>
                <w:rFonts w:ascii="Helvetica" w:eastAsia="Times New Roman" w:hAnsi="Helvetica" w:cs="Helvetica"/>
                <w:color w:val="222222"/>
                <w:sz w:val="24"/>
                <w:szCs w:val="24"/>
                <w:lang w:eastAsia="es-CO"/>
              </w:rPr>
              <w:fldChar w:fldCharType="end"/>
            </w:r>
            <w:r w:rsidR="00EB5E86">
              <w:rPr>
                <w:rFonts w:ascii="Helvetica" w:eastAsia="Times New Roman" w:hAnsi="Helvetica" w:cs="Helvetica"/>
                <w:color w:val="222222"/>
                <w:sz w:val="24"/>
                <w:szCs w:val="24"/>
                <w:lang w:eastAsia="es-CO"/>
              </w:rPr>
              <w:t>. De nuevo, se realizarán las caracterizaciones de ácidos grasos, polifenoles y contenido de metales descritos previamente</w:t>
            </w:r>
            <w:r w:rsidR="00B955FA">
              <w:rPr>
                <w:rFonts w:ascii="Helvetica" w:eastAsia="Times New Roman" w:hAnsi="Helvetica" w:cs="Helvetica"/>
                <w:color w:val="222222"/>
                <w:sz w:val="24"/>
                <w:szCs w:val="24"/>
                <w:lang w:eastAsia="es-CO"/>
              </w:rPr>
              <w:t xml:space="preserve"> en los frutos</w:t>
            </w:r>
            <w:r w:rsidR="00EB5E86">
              <w:rPr>
                <w:rFonts w:ascii="Helvetica" w:eastAsia="Times New Roman" w:hAnsi="Helvetica" w:cs="Helvetica"/>
                <w:color w:val="222222"/>
                <w:sz w:val="24"/>
                <w:szCs w:val="24"/>
                <w:lang w:eastAsia="es-CO"/>
              </w:rPr>
              <w:t>.</w:t>
            </w:r>
          </w:p>
          <w:p w14:paraId="75EDF832" w14:textId="77777777" w:rsidR="00E6008D" w:rsidRDefault="00E6008D">
            <w:pPr>
              <w:spacing w:after="0" w:line="240" w:lineRule="auto"/>
              <w:jc w:val="both"/>
              <w:rPr>
                <w:rFonts w:ascii="Helvetica" w:eastAsia="Times New Roman" w:hAnsi="Helvetica" w:cs="Helvetica"/>
                <w:color w:val="222222"/>
                <w:sz w:val="24"/>
                <w:szCs w:val="24"/>
                <w:lang w:eastAsia="es-CO"/>
              </w:rPr>
            </w:pPr>
          </w:p>
        </w:tc>
      </w:tr>
      <w:tr w:rsidR="001D6087" w14:paraId="0B9DB712"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B1F521B" w14:textId="77777777"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14:paraId="73B5596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84D82C" w14:textId="63371842" w:rsidR="001D6087" w:rsidRDefault="007B0D3E" w:rsidP="001D60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r w:rsidR="002B32FB">
              <w:rPr>
                <w:rFonts w:ascii="Helvetica" w:eastAsia="Times New Roman" w:hAnsi="Helvetica" w:cs="Helvetica"/>
                <w:color w:val="222222"/>
                <w:sz w:val="24"/>
                <w:szCs w:val="24"/>
                <w:lang w:eastAsia="es-CO"/>
              </w:rPr>
              <w:t xml:space="preserve"> Artículo</w:t>
            </w:r>
            <w:r>
              <w:rPr>
                <w:rFonts w:ascii="Helvetica" w:eastAsia="Times New Roman" w:hAnsi="Helvetica" w:cs="Helvetica"/>
                <w:color w:val="222222"/>
                <w:sz w:val="24"/>
                <w:szCs w:val="24"/>
                <w:lang w:eastAsia="es-CO"/>
              </w:rPr>
              <w:t>s</w:t>
            </w:r>
            <w:r w:rsidR="002B32FB">
              <w:rPr>
                <w:rFonts w:ascii="Helvetica" w:eastAsia="Times New Roman" w:hAnsi="Helvetica" w:cs="Helvetica"/>
                <w:color w:val="222222"/>
                <w:sz w:val="24"/>
                <w:szCs w:val="24"/>
                <w:lang w:eastAsia="es-CO"/>
              </w:rPr>
              <w:t xml:space="preserve"> internacional</w:t>
            </w:r>
            <w:r>
              <w:rPr>
                <w:rFonts w:ascii="Helvetica" w:eastAsia="Times New Roman" w:hAnsi="Helvetica" w:cs="Helvetica"/>
                <w:color w:val="222222"/>
                <w:sz w:val="24"/>
                <w:szCs w:val="24"/>
                <w:lang w:eastAsia="es-CO"/>
              </w:rPr>
              <w:t>es</w:t>
            </w:r>
            <w:r w:rsidR="002B32FB">
              <w:rPr>
                <w:rFonts w:ascii="Helvetica" w:eastAsia="Times New Roman" w:hAnsi="Helvetica" w:cs="Helvetica"/>
                <w:color w:val="222222"/>
                <w:sz w:val="24"/>
                <w:szCs w:val="24"/>
                <w:lang w:eastAsia="es-CO"/>
              </w:rPr>
              <w:t xml:space="preserve"> en Revista Indexada</w:t>
            </w:r>
          </w:p>
          <w:p w14:paraId="4F65F763" w14:textId="77777777" w:rsidR="002B32FB" w:rsidRDefault="002B32FB" w:rsidP="001D60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 Ponencia en Congreso Internacional</w:t>
            </w:r>
          </w:p>
          <w:p w14:paraId="15D05DEB" w14:textId="77777777" w:rsidR="001D6087" w:rsidRDefault="002B32FB" w:rsidP="001D60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 Tesis de Pregrado.</w:t>
            </w:r>
          </w:p>
          <w:p w14:paraId="75AFC8C0"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tc>
      </w:tr>
    </w:tbl>
    <w:p w14:paraId="67268F5B" w14:textId="77777777" w:rsidR="001D6087" w:rsidRDefault="001D6087" w:rsidP="002A18AF">
      <w:pPr>
        <w:spacing w:after="0" w:line="240" w:lineRule="auto"/>
        <w:rPr>
          <w:rFonts w:ascii="Times New Roman" w:eastAsia="Times New Roman" w:hAnsi="Times New Roman" w:cs="Times New Roman"/>
          <w:sz w:val="24"/>
          <w:szCs w:val="24"/>
          <w:lang w:eastAsia="es-CO"/>
        </w:rPr>
      </w:pPr>
    </w:p>
    <w:p w14:paraId="4D567392" w14:textId="77777777"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686" w:type="dxa"/>
        <w:tblCellMar>
          <w:left w:w="70" w:type="dxa"/>
          <w:right w:w="70" w:type="dxa"/>
        </w:tblCellMar>
        <w:tblLook w:val="04A0" w:firstRow="1" w:lastRow="0" w:firstColumn="1" w:lastColumn="0" w:noHBand="0" w:noVBand="1"/>
      </w:tblPr>
      <w:tblGrid>
        <w:gridCol w:w="1584"/>
        <w:gridCol w:w="1564"/>
        <w:gridCol w:w="661"/>
        <w:gridCol w:w="751"/>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6934B2" w:rsidRPr="001D6087" w14:paraId="31D64721" w14:textId="77777777" w:rsidTr="009E52A3">
        <w:trPr>
          <w:trHeight w:val="340"/>
        </w:trPr>
        <w:tc>
          <w:tcPr>
            <w:tcW w:w="158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089C75E5"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6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5637B19"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412" w:type="dxa"/>
            <w:gridSpan w:val="2"/>
            <w:tcBorders>
              <w:top w:val="single" w:sz="8" w:space="0" w:color="auto"/>
              <w:left w:val="nil"/>
              <w:bottom w:val="single" w:sz="8" w:space="0" w:color="auto"/>
              <w:right w:val="nil"/>
            </w:tcBorders>
            <w:shd w:val="clear" w:color="000000" w:fill="FFCC99"/>
            <w:noWrap/>
            <w:vAlign w:val="center"/>
            <w:hideMark/>
          </w:tcPr>
          <w:p w14:paraId="04767508" w14:textId="77777777"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14:paraId="4F746CA0" w14:textId="77777777"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40782339"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5BEC072A"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08DBBEB6"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14:paraId="71300788"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5A9DEE2E"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77C74BA0"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14:paraId="33AD2F10"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center"/>
            <w:hideMark/>
          </w:tcPr>
          <w:p w14:paraId="15F34F0F"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center"/>
            <w:hideMark/>
          </w:tcPr>
          <w:p w14:paraId="322CA88C"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center"/>
            <w:hideMark/>
          </w:tcPr>
          <w:p w14:paraId="764AE23D"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ED34E5" w:rsidRPr="001D6087" w14:paraId="07F485A3" w14:textId="77777777" w:rsidTr="009E52A3">
        <w:trPr>
          <w:gridAfter w:val="1"/>
          <w:wAfter w:w="10" w:type="dxa"/>
          <w:trHeight w:val="548"/>
        </w:trPr>
        <w:tc>
          <w:tcPr>
            <w:tcW w:w="1584" w:type="dxa"/>
            <w:vMerge/>
            <w:tcBorders>
              <w:top w:val="single" w:sz="8" w:space="0" w:color="auto"/>
              <w:left w:val="single" w:sz="8" w:space="0" w:color="auto"/>
              <w:bottom w:val="single" w:sz="8" w:space="0" w:color="000000"/>
              <w:right w:val="single" w:sz="8" w:space="0" w:color="auto"/>
            </w:tcBorders>
            <w:vAlign w:val="center"/>
            <w:hideMark/>
          </w:tcPr>
          <w:p w14:paraId="04739854"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64" w:type="dxa"/>
            <w:vMerge/>
            <w:tcBorders>
              <w:top w:val="single" w:sz="8" w:space="0" w:color="auto"/>
              <w:left w:val="single" w:sz="8" w:space="0" w:color="auto"/>
              <w:bottom w:val="single" w:sz="8" w:space="0" w:color="000000"/>
              <w:right w:val="single" w:sz="8" w:space="0" w:color="auto"/>
            </w:tcBorders>
            <w:vAlign w:val="center"/>
            <w:hideMark/>
          </w:tcPr>
          <w:p w14:paraId="61A79219"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661" w:type="dxa"/>
            <w:tcBorders>
              <w:top w:val="nil"/>
              <w:left w:val="nil"/>
              <w:bottom w:val="single" w:sz="8" w:space="0" w:color="auto"/>
              <w:right w:val="single" w:sz="4" w:space="0" w:color="auto"/>
            </w:tcBorders>
            <w:shd w:val="clear" w:color="000000" w:fill="FFCC00"/>
            <w:noWrap/>
            <w:vAlign w:val="center"/>
            <w:hideMark/>
          </w:tcPr>
          <w:p w14:paraId="749CC323"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51" w:type="dxa"/>
            <w:tcBorders>
              <w:top w:val="nil"/>
              <w:left w:val="nil"/>
              <w:bottom w:val="single" w:sz="8" w:space="0" w:color="auto"/>
              <w:right w:val="nil"/>
            </w:tcBorders>
            <w:shd w:val="clear" w:color="000000" w:fill="FFCC00"/>
            <w:noWrap/>
            <w:vAlign w:val="center"/>
            <w:hideMark/>
          </w:tcPr>
          <w:p w14:paraId="3CF711CC"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14:paraId="6D72912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14:paraId="5F37816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14:paraId="6F6C062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14:paraId="1E363B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14:paraId="218247A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14:paraId="1E0333D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BE8DA6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14:paraId="2F109C8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14:paraId="2B52D15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2335198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721D2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779FB14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44609E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9BBC62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3AC8F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E1534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1E81EBA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14:paraId="793ABA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D245A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56BB0F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615E170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71A6B9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242F8E9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F7D893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1E06382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6FA5384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06E30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E4682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42179AF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14:paraId="1EA032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14:paraId="02B9350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14:paraId="163481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14:paraId="7768100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14:paraId="6E3C95B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14:paraId="25497D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14:paraId="0F6A25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14:paraId="763F27D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14:paraId="6FE7EB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14:paraId="2F452E1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14:paraId="0C06BB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14:paraId="795689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6934B2" w:rsidRPr="001D6087" w14:paraId="70E80EC2" w14:textId="77777777" w:rsidTr="009E52A3">
        <w:trPr>
          <w:gridAfter w:val="1"/>
          <w:wAfter w:w="10" w:type="dxa"/>
          <w:trHeight w:val="340"/>
        </w:trPr>
        <w:tc>
          <w:tcPr>
            <w:tcW w:w="1584" w:type="dxa"/>
            <w:tcBorders>
              <w:top w:val="nil"/>
              <w:left w:val="single" w:sz="8" w:space="0" w:color="auto"/>
              <w:bottom w:val="single" w:sz="4" w:space="0" w:color="auto"/>
              <w:right w:val="single" w:sz="8" w:space="0" w:color="auto"/>
            </w:tcBorders>
            <w:shd w:val="clear" w:color="auto" w:fill="auto"/>
            <w:vAlign w:val="center"/>
            <w:hideMark/>
          </w:tcPr>
          <w:p w14:paraId="4AB76C4C" w14:textId="396B5F28"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A5524B">
              <w:rPr>
                <w:rFonts w:ascii="Arial" w:eastAsia="Times New Roman" w:hAnsi="Arial" w:cs="Arial"/>
                <w:sz w:val="20"/>
                <w:szCs w:val="20"/>
                <w:lang w:eastAsia="es-CO"/>
              </w:rPr>
              <w:t>Obtención del material vegetal-Secado del stock</w:t>
            </w:r>
          </w:p>
        </w:tc>
        <w:tc>
          <w:tcPr>
            <w:tcW w:w="1564" w:type="dxa"/>
            <w:tcBorders>
              <w:top w:val="nil"/>
              <w:left w:val="nil"/>
              <w:bottom w:val="single" w:sz="4" w:space="0" w:color="auto"/>
              <w:right w:val="single" w:sz="8" w:space="0" w:color="auto"/>
            </w:tcBorders>
            <w:shd w:val="clear" w:color="auto" w:fill="auto"/>
            <w:vAlign w:val="center"/>
            <w:hideMark/>
          </w:tcPr>
          <w:p w14:paraId="79C26E48" w14:textId="53AA98BB" w:rsidR="001D6087" w:rsidRPr="001D6087" w:rsidRDefault="00A5524B"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 ECCI-USTA</w:t>
            </w:r>
          </w:p>
        </w:tc>
        <w:tc>
          <w:tcPr>
            <w:tcW w:w="661" w:type="dxa"/>
            <w:tcBorders>
              <w:top w:val="single" w:sz="8" w:space="0" w:color="auto"/>
              <w:left w:val="single" w:sz="8" w:space="0" w:color="auto"/>
              <w:bottom w:val="nil"/>
              <w:right w:val="single" w:sz="8" w:space="0" w:color="auto"/>
            </w:tcBorders>
            <w:shd w:val="clear" w:color="000000" w:fill="C0C0C0"/>
            <w:vAlign w:val="center"/>
            <w:hideMark/>
          </w:tcPr>
          <w:p w14:paraId="330DB5B8" w14:textId="24C9AB5B"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Febr 1</w:t>
            </w:r>
            <w:r w:rsidR="001D6087" w:rsidRPr="001D6087">
              <w:rPr>
                <w:rFonts w:ascii="Arial" w:eastAsia="Times New Roman" w:hAnsi="Arial" w:cs="Arial"/>
                <w:b/>
                <w:bCs/>
                <w:sz w:val="14"/>
                <w:szCs w:val="14"/>
                <w:lang w:eastAsia="es-CO"/>
              </w:rPr>
              <w:t> </w:t>
            </w:r>
          </w:p>
        </w:tc>
        <w:tc>
          <w:tcPr>
            <w:tcW w:w="751" w:type="dxa"/>
            <w:tcBorders>
              <w:top w:val="nil"/>
              <w:left w:val="nil"/>
              <w:bottom w:val="nil"/>
              <w:right w:val="nil"/>
            </w:tcBorders>
            <w:shd w:val="clear" w:color="000000" w:fill="FF8080"/>
            <w:vAlign w:val="center"/>
            <w:hideMark/>
          </w:tcPr>
          <w:p w14:paraId="30012D89" w14:textId="67BF8558"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Febr 28</w:t>
            </w:r>
          </w:p>
        </w:tc>
        <w:tc>
          <w:tcPr>
            <w:tcW w:w="196" w:type="dxa"/>
            <w:tcBorders>
              <w:top w:val="nil"/>
              <w:left w:val="single" w:sz="4" w:space="0" w:color="auto"/>
              <w:bottom w:val="nil"/>
              <w:right w:val="single" w:sz="4" w:space="0" w:color="auto"/>
            </w:tcBorders>
            <w:shd w:val="diagCross" w:color="000000" w:fill="C0C0C0"/>
            <w:vAlign w:val="center"/>
            <w:hideMark/>
          </w:tcPr>
          <w:p w14:paraId="383CA481"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92D050"/>
            <w:vAlign w:val="center"/>
            <w:hideMark/>
          </w:tcPr>
          <w:p w14:paraId="097FCA80" w14:textId="52B22855" w:rsidR="001D6087" w:rsidRPr="00891C49" w:rsidRDefault="001D6087" w:rsidP="001D6087">
            <w:pPr>
              <w:spacing w:after="0" w:line="240" w:lineRule="auto"/>
              <w:jc w:val="center"/>
              <w:rPr>
                <w:rFonts w:ascii="Bodoni MT Condensed" w:eastAsia="Times New Roman" w:hAnsi="Bodoni MT Condensed" w:cs="Arial"/>
                <w:sz w:val="16"/>
                <w:szCs w:val="16"/>
                <w:highlight w:val="yellow"/>
                <w:lang w:eastAsia="es-CO"/>
              </w:rPr>
            </w:pPr>
          </w:p>
        </w:tc>
        <w:tc>
          <w:tcPr>
            <w:tcW w:w="211" w:type="dxa"/>
            <w:tcBorders>
              <w:top w:val="nil"/>
              <w:left w:val="single" w:sz="4" w:space="0" w:color="auto"/>
              <w:bottom w:val="single" w:sz="4" w:space="0" w:color="auto"/>
              <w:right w:val="nil"/>
            </w:tcBorders>
            <w:shd w:val="clear" w:color="auto" w:fill="92D050"/>
            <w:vAlign w:val="center"/>
            <w:hideMark/>
          </w:tcPr>
          <w:p w14:paraId="0688379E" w14:textId="17C21C06" w:rsidR="001D6087" w:rsidRPr="00891C49" w:rsidRDefault="001D6087" w:rsidP="00891C49">
            <w:pPr>
              <w:spacing w:after="0" w:line="240" w:lineRule="auto"/>
              <w:rPr>
                <w:rFonts w:ascii="Bodoni MT Condensed" w:eastAsia="Times New Roman" w:hAnsi="Bodoni MT Condensed" w:cs="Arial"/>
                <w:sz w:val="16"/>
                <w:szCs w:val="16"/>
                <w:highlight w:val="yellow"/>
                <w:lang w:eastAsia="es-CO"/>
              </w:rPr>
            </w:pPr>
          </w:p>
        </w:tc>
        <w:tc>
          <w:tcPr>
            <w:tcW w:w="211" w:type="dxa"/>
            <w:tcBorders>
              <w:top w:val="nil"/>
              <w:left w:val="single" w:sz="4" w:space="0" w:color="auto"/>
              <w:bottom w:val="single" w:sz="4" w:space="0" w:color="auto"/>
              <w:right w:val="single" w:sz="4" w:space="0" w:color="auto"/>
            </w:tcBorders>
            <w:shd w:val="clear" w:color="auto" w:fill="92D050"/>
            <w:vAlign w:val="center"/>
            <w:hideMark/>
          </w:tcPr>
          <w:p w14:paraId="32CA54D5" w14:textId="0CB9CF2D" w:rsidR="001D6087" w:rsidRPr="00891C49" w:rsidRDefault="001D6087" w:rsidP="00891C49">
            <w:pPr>
              <w:spacing w:after="0" w:line="240" w:lineRule="auto"/>
              <w:rPr>
                <w:rFonts w:ascii="Bodoni MT Condensed" w:eastAsia="Times New Roman" w:hAnsi="Bodoni MT Condensed" w:cs="Arial"/>
                <w:sz w:val="16"/>
                <w:szCs w:val="16"/>
                <w:highlight w:val="yellow"/>
                <w:lang w:eastAsia="es-CO"/>
              </w:rPr>
            </w:pPr>
          </w:p>
        </w:tc>
        <w:tc>
          <w:tcPr>
            <w:tcW w:w="212" w:type="dxa"/>
            <w:tcBorders>
              <w:top w:val="nil"/>
              <w:left w:val="nil"/>
              <w:bottom w:val="single" w:sz="4" w:space="0" w:color="auto"/>
              <w:right w:val="single" w:sz="8" w:space="0" w:color="auto"/>
            </w:tcBorders>
            <w:shd w:val="clear" w:color="auto" w:fill="92D050"/>
            <w:vAlign w:val="center"/>
            <w:hideMark/>
          </w:tcPr>
          <w:p w14:paraId="17253E35" w14:textId="2D978598" w:rsidR="001D6087" w:rsidRPr="00891C49" w:rsidRDefault="001D6087" w:rsidP="001D6087">
            <w:pPr>
              <w:spacing w:after="0" w:line="240" w:lineRule="auto"/>
              <w:jc w:val="center"/>
              <w:rPr>
                <w:rFonts w:ascii="Bodoni MT Condensed" w:eastAsia="Times New Roman" w:hAnsi="Bodoni MT Condensed" w:cs="Arial"/>
                <w:sz w:val="16"/>
                <w:szCs w:val="16"/>
                <w:highlight w:val="yellow"/>
                <w:lang w:eastAsia="es-CO"/>
              </w:rPr>
            </w:pPr>
            <w:r w:rsidRPr="00891C49">
              <w:rPr>
                <w:rFonts w:ascii="Bodoni MT Condensed" w:eastAsia="Times New Roman" w:hAnsi="Bodoni MT Condensed" w:cs="Arial"/>
                <w:sz w:val="16"/>
                <w:szCs w:val="16"/>
                <w:highlight w:val="yellow"/>
                <w:lang w:eastAsia="es-CO"/>
              </w:rPr>
              <w:t> </w:t>
            </w:r>
          </w:p>
        </w:tc>
        <w:tc>
          <w:tcPr>
            <w:tcW w:w="211" w:type="dxa"/>
            <w:tcBorders>
              <w:top w:val="nil"/>
              <w:left w:val="nil"/>
              <w:bottom w:val="single" w:sz="4" w:space="0" w:color="auto"/>
              <w:right w:val="nil"/>
            </w:tcBorders>
            <w:shd w:val="clear" w:color="auto" w:fill="auto"/>
            <w:vAlign w:val="center"/>
            <w:hideMark/>
          </w:tcPr>
          <w:p w14:paraId="0AD02E0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F8293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F715BE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ADEF2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auto"/>
            <w:vAlign w:val="center"/>
            <w:hideMark/>
          </w:tcPr>
          <w:p w14:paraId="1600528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56BA1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D29E56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B5243E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E0505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1AD61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3940B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198BE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BC0380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831C0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7C13F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BBD0A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14:paraId="2E5A400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75743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9C0BD3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2281D8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800C9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151A68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46DB18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F405B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0311F72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3422A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C54A4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642EFB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0F21B2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308E7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797EB2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A241A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4616550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1C81B4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4CB155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0DFE53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934B2" w:rsidRPr="001D6087" w14:paraId="1760EA9E" w14:textId="77777777" w:rsidTr="009E52A3">
        <w:trPr>
          <w:gridAfter w:val="1"/>
          <w:wAfter w:w="10" w:type="dxa"/>
          <w:trHeight w:val="321"/>
        </w:trPr>
        <w:tc>
          <w:tcPr>
            <w:tcW w:w="1584" w:type="dxa"/>
            <w:tcBorders>
              <w:top w:val="nil"/>
              <w:left w:val="single" w:sz="8" w:space="0" w:color="auto"/>
              <w:bottom w:val="single" w:sz="4" w:space="0" w:color="auto"/>
              <w:right w:val="single" w:sz="8" w:space="0" w:color="auto"/>
            </w:tcBorders>
            <w:shd w:val="clear" w:color="auto" w:fill="auto"/>
            <w:vAlign w:val="center"/>
            <w:hideMark/>
          </w:tcPr>
          <w:p w14:paraId="118B1520" w14:textId="5C53863E"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A5524B">
              <w:rPr>
                <w:rFonts w:ascii="Arial" w:eastAsia="Times New Roman" w:hAnsi="Arial" w:cs="Arial"/>
                <w:sz w:val="20"/>
                <w:szCs w:val="20"/>
                <w:lang w:eastAsia="es-CO"/>
              </w:rPr>
              <w:t>Evaluación de la extracción a nivel laboratorio</w:t>
            </w:r>
          </w:p>
        </w:tc>
        <w:tc>
          <w:tcPr>
            <w:tcW w:w="1564" w:type="dxa"/>
            <w:tcBorders>
              <w:top w:val="nil"/>
              <w:left w:val="nil"/>
              <w:bottom w:val="single" w:sz="4" w:space="0" w:color="auto"/>
              <w:right w:val="single" w:sz="8" w:space="0" w:color="auto"/>
            </w:tcBorders>
            <w:shd w:val="clear" w:color="auto" w:fill="auto"/>
            <w:vAlign w:val="center"/>
            <w:hideMark/>
          </w:tcPr>
          <w:p w14:paraId="1FB62ECA" w14:textId="4F4D9F47" w:rsidR="001D6087" w:rsidRPr="001D6087" w:rsidRDefault="00A5524B"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 ECCI</w:t>
            </w:r>
          </w:p>
        </w:tc>
        <w:tc>
          <w:tcPr>
            <w:tcW w:w="661"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2B2DBDC5" w14:textId="6FE44DE4"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Marzo 1</w:t>
            </w:r>
          </w:p>
        </w:tc>
        <w:tc>
          <w:tcPr>
            <w:tcW w:w="751" w:type="dxa"/>
            <w:tcBorders>
              <w:top w:val="single" w:sz="4" w:space="0" w:color="auto"/>
              <w:left w:val="nil"/>
              <w:bottom w:val="single" w:sz="4" w:space="0" w:color="auto"/>
              <w:right w:val="single" w:sz="4" w:space="0" w:color="auto"/>
            </w:tcBorders>
            <w:shd w:val="clear" w:color="000000" w:fill="FF8080"/>
            <w:vAlign w:val="center"/>
            <w:hideMark/>
          </w:tcPr>
          <w:p w14:paraId="14D605DC" w14:textId="248D21A2"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Abril 30</w:t>
            </w:r>
          </w:p>
        </w:tc>
        <w:tc>
          <w:tcPr>
            <w:tcW w:w="196" w:type="dxa"/>
            <w:tcBorders>
              <w:top w:val="nil"/>
              <w:left w:val="single" w:sz="4" w:space="0" w:color="auto"/>
              <w:bottom w:val="nil"/>
              <w:right w:val="single" w:sz="4" w:space="0" w:color="auto"/>
            </w:tcBorders>
            <w:shd w:val="diagCross" w:color="000000" w:fill="C0C0C0"/>
            <w:vAlign w:val="center"/>
            <w:hideMark/>
          </w:tcPr>
          <w:p w14:paraId="71AB93D9"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5E53DE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281FED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01948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50FA45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92D050"/>
            <w:vAlign w:val="center"/>
            <w:hideMark/>
          </w:tcPr>
          <w:p w14:paraId="042125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2D050"/>
            <w:vAlign w:val="center"/>
            <w:hideMark/>
          </w:tcPr>
          <w:p w14:paraId="06A2D5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92D050"/>
            <w:vAlign w:val="center"/>
            <w:hideMark/>
          </w:tcPr>
          <w:p w14:paraId="2FF58B9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2D050"/>
            <w:vAlign w:val="center"/>
            <w:hideMark/>
          </w:tcPr>
          <w:p w14:paraId="79F9C7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2D050"/>
            <w:vAlign w:val="center"/>
            <w:hideMark/>
          </w:tcPr>
          <w:p w14:paraId="7E6550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2D050"/>
            <w:vAlign w:val="center"/>
            <w:hideMark/>
          </w:tcPr>
          <w:p w14:paraId="0FC2DB6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hideMark/>
          </w:tcPr>
          <w:p w14:paraId="416778F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hideMark/>
          </w:tcPr>
          <w:p w14:paraId="3997D22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2D050"/>
            <w:vAlign w:val="center"/>
            <w:hideMark/>
          </w:tcPr>
          <w:p w14:paraId="1065ED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15F82F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8304D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00F311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1DC02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04E12A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E2DA7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870202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08F727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6A27B67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090E9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25A924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7AB02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69D8E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25767D1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DAA1F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287F95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574ADF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684365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C9223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D5A488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B9D756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2ACDA4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C3E15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4DA34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2C45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277619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8BD42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FAD242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04FFB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934B2" w:rsidRPr="001D6087" w14:paraId="689DE789" w14:textId="77777777" w:rsidTr="009E52A3">
        <w:trPr>
          <w:gridAfter w:val="1"/>
          <w:wAfter w:w="10" w:type="dxa"/>
          <w:trHeight w:val="321"/>
        </w:trPr>
        <w:tc>
          <w:tcPr>
            <w:tcW w:w="1584" w:type="dxa"/>
            <w:tcBorders>
              <w:top w:val="nil"/>
              <w:left w:val="single" w:sz="8" w:space="0" w:color="auto"/>
              <w:bottom w:val="single" w:sz="4" w:space="0" w:color="auto"/>
              <w:right w:val="single" w:sz="8" w:space="0" w:color="auto"/>
            </w:tcBorders>
            <w:shd w:val="clear" w:color="auto" w:fill="auto"/>
            <w:vAlign w:val="center"/>
            <w:hideMark/>
          </w:tcPr>
          <w:p w14:paraId="7C155E87" w14:textId="62B688C9"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A5524B">
              <w:rPr>
                <w:rFonts w:ascii="Arial" w:eastAsia="Times New Roman" w:hAnsi="Arial" w:cs="Arial"/>
                <w:sz w:val="20"/>
                <w:szCs w:val="20"/>
                <w:lang w:eastAsia="es-CO"/>
              </w:rPr>
              <w:t>Extracción de ortiga y agraz en equipo de hidrocavitación</w:t>
            </w:r>
          </w:p>
        </w:tc>
        <w:tc>
          <w:tcPr>
            <w:tcW w:w="1564" w:type="dxa"/>
            <w:tcBorders>
              <w:top w:val="nil"/>
              <w:left w:val="nil"/>
              <w:bottom w:val="single" w:sz="4" w:space="0" w:color="auto"/>
              <w:right w:val="single" w:sz="8" w:space="0" w:color="auto"/>
            </w:tcBorders>
            <w:shd w:val="clear" w:color="auto" w:fill="auto"/>
            <w:vAlign w:val="center"/>
            <w:hideMark/>
          </w:tcPr>
          <w:p w14:paraId="5AD852EA" w14:textId="55501CCA" w:rsidR="001D6087" w:rsidRPr="001D6087" w:rsidRDefault="00A5524B"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USTA</w:t>
            </w:r>
          </w:p>
        </w:tc>
        <w:tc>
          <w:tcPr>
            <w:tcW w:w="661"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7F1C063" w14:textId="17F4285A"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Mayo 1</w:t>
            </w:r>
            <w:r w:rsidR="001D6087" w:rsidRPr="001D6087">
              <w:rPr>
                <w:rFonts w:ascii="Arial" w:eastAsia="Times New Roman" w:hAnsi="Arial" w:cs="Arial"/>
                <w:b/>
                <w:bCs/>
                <w:sz w:val="14"/>
                <w:szCs w:val="14"/>
                <w:lang w:eastAsia="es-CO"/>
              </w:rPr>
              <w:t> </w:t>
            </w:r>
          </w:p>
        </w:tc>
        <w:tc>
          <w:tcPr>
            <w:tcW w:w="751" w:type="dxa"/>
            <w:tcBorders>
              <w:top w:val="single" w:sz="4" w:space="0" w:color="auto"/>
              <w:left w:val="nil"/>
              <w:bottom w:val="single" w:sz="4" w:space="0" w:color="auto"/>
              <w:right w:val="single" w:sz="4" w:space="0" w:color="auto"/>
            </w:tcBorders>
            <w:shd w:val="clear" w:color="000000" w:fill="FF8080"/>
            <w:vAlign w:val="center"/>
            <w:hideMark/>
          </w:tcPr>
          <w:p w14:paraId="506E6696" w14:textId="4330D0C5"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Junio 30</w:t>
            </w:r>
            <w:r w:rsidR="001D6087"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3662736A"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9F28B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8CDD1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AF1FD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099791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4AC76A4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F44260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547433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8D8AA9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B14FC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6F38186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60C9D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D0CBE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CF3D4C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hideMark/>
          </w:tcPr>
          <w:p w14:paraId="21362E8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hideMark/>
          </w:tcPr>
          <w:p w14:paraId="36A2F9C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hideMark/>
          </w:tcPr>
          <w:p w14:paraId="25545AB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hideMark/>
          </w:tcPr>
          <w:p w14:paraId="30293D7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hideMark/>
          </w:tcPr>
          <w:p w14:paraId="39285C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hideMark/>
          </w:tcPr>
          <w:p w14:paraId="5C61D85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hideMark/>
          </w:tcPr>
          <w:p w14:paraId="30B550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2D050"/>
            <w:vAlign w:val="center"/>
            <w:hideMark/>
          </w:tcPr>
          <w:p w14:paraId="36D8893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2C154B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800B6D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E72522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2C6A76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A107F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5F8E32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82E9D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F4B74F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CD38DB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7AEF5D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BF1120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A4E2EB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46268C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E5AC6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B7480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F6A2D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76F2E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1F4DACA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1E5825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CC6579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01B0B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934B2" w:rsidRPr="001D6087" w14:paraId="3EE2BD8B" w14:textId="77777777" w:rsidTr="009E52A3">
        <w:trPr>
          <w:gridAfter w:val="1"/>
          <w:wAfter w:w="10" w:type="dxa"/>
          <w:trHeight w:val="321"/>
        </w:trPr>
        <w:tc>
          <w:tcPr>
            <w:tcW w:w="1584" w:type="dxa"/>
            <w:tcBorders>
              <w:top w:val="nil"/>
              <w:left w:val="single" w:sz="8" w:space="0" w:color="auto"/>
              <w:bottom w:val="single" w:sz="4" w:space="0" w:color="auto"/>
              <w:right w:val="single" w:sz="8" w:space="0" w:color="auto"/>
            </w:tcBorders>
            <w:shd w:val="clear" w:color="auto" w:fill="auto"/>
            <w:vAlign w:val="center"/>
            <w:hideMark/>
          </w:tcPr>
          <w:p w14:paraId="0CC87479" w14:textId="40B1A11B"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A5524B">
              <w:rPr>
                <w:rFonts w:ascii="Arial" w:eastAsia="Times New Roman" w:hAnsi="Arial" w:cs="Arial"/>
                <w:sz w:val="20"/>
                <w:szCs w:val="20"/>
                <w:lang w:eastAsia="es-CO"/>
              </w:rPr>
              <w:t>Caracterización de extractos de ortiga</w:t>
            </w:r>
          </w:p>
        </w:tc>
        <w:tc>
          <w:tcPr>
            <w:tcW w:w="1564" w:type="dxa"/>
            <w:tcBorders>
              <w:top w:val="nil"/>
              <w:left w:val="nil"/>
              <w:bottom w:val="single" w:sz="4" w:space="0" w:color="auto"/>
              <w:right w:val="single" w:sz="8" w:space="0" w:color="auto"/>
            </w:tcBorders>
            <w:shd w:val="clear" w:color="auto" w:fill="auto"/>
            <w:vAlign w:val="center"/>
            <w:hideMark/>
          </w:tcPr>
          <w:p w14:paraId="0129098C" w14:textId="00399061" w:rsidR="001D6087" w:rsidRPr="001D6087" w:rsidRDefault="00A5524B"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USTA-ECCI</w:t>
            </w:r>
            <w:r w:rsidR="001D6087" w:rsidRPr="001D6087">
              <w:rPr>
                <w:rFonts w:ascii="Arial" w:eastAsia="Times New Roman" w:hAnsi="Arial" w:cs="Arial"/>
                <w:sz w:val="20"/>
                <w:szCs w:val="20"/>
                <w:lang w:eastAsia="es-CO"/>
              </w:rPr>
              <w:t> </w:t>
            </w:r>
          </w:p>
        </w:tc>
        <w:tc>
          <w:tcPr>
            <w:tcW w:w="661"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E5FED32" w14:textId="3B647EEE"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Julio 1</w:t>
            </w:r>
            <w:r w:rsidR="001D6087" w:rsidRPr="001D6087">
              <w:rPr>
                <w:rFonts w:ascii="Arial" w:eastAsia="Times New Roman" w:hAnsi="Arial" w:cs="Arial"/>
                <w:b/>
                <w:bCs/>
                <w:sz w:val="14"/>
                <w:szCs w:val="14"/>
                <w:lang w:eastAsia="es-CO"/>
              </w:rPr>
              <w:t> </w:t>
            </w:r>
          </w:p>
        </w:tc>
        <w:tc>
          <w:tcPr>
            <w:tcW w:w="751" w:type="dxa"/>
            <w:tcBorders>
              <w:top w:val="single" w:sz="4" w:space="0" w:color="auto"/>
              <w:left w:val="nil"/>
              <w:bottom w:val="single" w:sz="4" w:space="0" w:color="auto"/>
              <w:right w:val="single" w:sz="4" w:space="0" w:color="auto"/>
            </w:tcBorders>
            <w:shd w:val="clear" w:color="000000" w:fill="FF8080"/>
            <w:vAlign w:val="center"/>
            <w:hideMark/>
          </w:tcPr>
          <w:p w14:paraId="611B4685" w14:textId="196631F4"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Agosto 30</w:t>
            </w:r>
            <w:r w:rsidR="001D6087"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6E6D39DD"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F51B7D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2D0683F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E0101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7971D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3B61DE0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48FD9E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0DA8776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2FA3CA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4F5CB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48813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36563E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3B63DA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1690ED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66BCEC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0E9C09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28DBE6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2CDC6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B53D4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9F9B0B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AFC26D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66B6E0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92D050"/>
            <w:vAlign w:val="center"/>
            <w:hideMark/>
          </w:tcPr>
          <w:p w14:paraId="4268237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2D050"/>
            <w:vAlign w:val="center"/>
            <w:hideMark/>
          </w:tcPr>
          <w:p w14:paraId="30252C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hideMark/>
          </w:tcPr>
          <w:p w14:paraId="1D2715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hideMark/>
          </w:tcPr>
          <w:p w14:paraId="7F76E5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2D050"/>
            <w:vAlign w:val="center"/>
            <w:hideMark/>
          </w:tcPr>
          <w:p w14:paraId="0F3F5E0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92D050"/>
            <w:vAlign w:val="center"/>
            <w:hideMark/>
          </w:tcPr>
          <w:p w14:paraId="0D06EE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hideMark/>
          </w:tcPr>
          <w:p w14:paraId="5E00907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hideMark/>
          </w:tcPr>
          <w:p w14:paraId="56B3D3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hideMark/>
          </w:tcPr>
          <w:p w14:paraId="4BB6F9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4583B29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866E4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E63A0A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F16F1E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E4AC6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59F444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A0AB69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80BF9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7E7DEE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03756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60D7E0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EA8055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934B2" w:rsidRPr="001D6087" w14:paraId="23D64A19" w14:textId="77777777" w:rsidTr="009E52A3">
        <w:trPr>
          <w:gridAfter w:val="1"/>
          <w:wAfter w:w="10" w:type="dxa"/>
          <w:trHeight w:val="321"/>
        </w:trPr>
        <w:tc>
          <w:tcPr>
            <w:tcW w:w="1584" w:type="dxa"/>
            <w:tcBorders>
              <w:top w:val="nil"/>
              <w:left w:val="single" w:sz="8" w:space="0" w:color="auto"/>
              <w:bottom w:val="single" w:sz="4" w:space="0" w:color="auto"/>
              <w:right w:val="single" w:sz="8" w:space="0" w:color="auto"/>
            </w:tcBorders>
            <w:shd w:val="clear" w:color="auto" w:fill="auto"/>
            <w:vAlign w:val="center"/>
            <w:hideMark/>
          </w:tcPr>
          <w:p w14:paraId="1B8E419C" w14:textId="3F363509"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A5524B">
              <w:rPr>
                <w:rFonts w:ascii="Arial" w:eastAsia="Times New Roman" w:hAnsi="Arial" w:cs="Arial"/>
                <w:sz w:val="20"/>
                <w:szCs w:val="20"/>
                <w:lang w:eastAsia="es-CO"/>
              </w:rPr>
              <w:t>Caracterización de extractos de agraz</w:t>
            </w:r>
          </w:p>
        </w:tc>
        <w:tc>
          <w:tcPr>
            <w:tcW w:w="1564" w:type="dxa"/>
            <w:tcBorders>
              <w:top w:val="nil"/>
              <w:left w:val="nil"/>
              <w:bottom w:val="single" w:sz="4" w:space="0" w:color="auto"/>
              <w:right w:val="single" w:sz="8" w:space="0" w:color="auto"/>
            </w:tcBorders>
            <w:shd w:val="clear" w:color="auto" w:fill="auto"/>
            <w:vAlign w:val="center"/>
            <w:hideMark/>
          </w:tcPr>
          <w:p w14:paraId="3B77B56B" w14:textId="1D9D7037" w:rsidR="001D6087" w:rsidRPr="001D6087" w:rsidRDefault="00A5524B"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USTA-ECCI</w:t>
            </w:r>
            <w:r w:rsidR="001D6087" w:rsidRPr="001D6087">
              <w:rPr>
                <w:rFonts w:ascii="Arial" w:eastAsia="Times New Roman" w:hAnsi="Arial" w:cs="Arial"/>
                <w:sz w:val="20"/>
                <w:szCs w:val="20"/>
                <w:lang w:eastAsia="es-CO"/>
              </w:rPr>
              <w:t> </w:t>
            </w:r>
          </w:p>
        </w:tc>
        <w:tc>
          <w:tcPr>
            <w:tcW w:w="661"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A77A91A" w14:textId="3950C4E6"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Sep 1</w:t>
            </w:r>
            <w:r w:rsidR="001D6087" w:rsidRPr="001D6087">
              <w:rPr>
                <w:rFonts w:ascii="Arial" w:eastAsia="Times New Roman" w:hAnsi="Arial" w:cs="Arial"/>
                <w:b/>
                <w:bCs/>
                <w:sz w:val="14"/>
                <w:szCs w:val="14"/>
                <w:lang w:eastAsia="es-CO"/>
              </w:rPr>
              <w:t> </w:t>
            </w:r>
          </w:p>
        </w:tc>
        <w:tc>
          <w:tcPr>
            <w:tcW w:w="751" w:type="dxa"/>
            <w:tcBorders>
              <w:top w:val="single" w:sz="4" w:space="0" w:color="auto"/>
              <w:left w:val="nil"/>
              <w:bottom w:val="single" w:sz="4" w:space="0" w:color="auto"/>
              <w:right w:val="single" w:sz="4" w:space="0" w:color="auto"/>
            </w:tcBorders>
            <w:shd w:val="clear" w:color="000000" w:fill="FF8080"/>
            <w:vAlign w:val="center"/>
            <w:hideMark/>
          </w:tcPr>
          <w:p w14:paraId="5B9F457A" w14:textId="6A9E761B" w:rsidR="001D6087" w:rsidRPr="001D6087" w:rsidRDefault="00A5524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Oct 31</w:t>
            </w:r>
            <w:r w:rsidR="001D6087"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08393D0E"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16E7EC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A6896A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9679E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72B9E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7F7AEDA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9FD4B8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5469AA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0A816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B72C1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C7FB9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AFCE3D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2BD24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D3E0A3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01B88D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B5DB9A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5A75CA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09A8C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41DF9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D0332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EC022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BF4E4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6CECBC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0FD32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C84F63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3E560D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1BFC9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3591E2F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8BD5B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35BD8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59F7F9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92D050"/>
            <w:vAlign w:val="center"/>
            <w:hideMark/>
          </w:tcPr>
          <w:p w14:paraId="52EF2B2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hideMark/>
          </w:tcPr>
          <w:p w14:paraId="3C57932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hideMark/>
          </w:tcPr>
          <w:p w14:paraId="06B5B9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hideMark/>
          </w:tcPr>
          <w:p w14:paraId="048EDE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hideMark/>
          </w:tcPr>
          <w:p w14:paraId="780A03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hideMark/>
          </w:tcPr>
          <w:p w14:paraId="333C1A2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hideMark/>
          </w:tcPr>
          <w:p w14:paraId="23C4326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hideMark/>
          </w:tcPr>
          <w:p w14:paraId="38CE19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55B7B7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405A6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7D409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C70F0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ED34E5" w:rsidRPr="001D6087" w14:paraId="27BD72FD" w14:textId="77777777" w:rsidTr="009E52A3">
        <w:trPr>
          <w:gridAfter w:val="1"/>
          <w:wAfter w:w="10" w:type="dxa"/>
          <w:trHeight w:val="302"/>
        </w:trPr>
        <w:tc>
          <w:tcPr>
            <w:tcW w:w="1584" w:type="dxa"/>
            <w:tcBorders>
              <w:top w:val="nil"/>
              <w:left w:val="single" w:sz="8" w:space="0" w:color="auto"/>
              <w:bottom w:val="single" w:sz="4" w:space="0" w:color="auto"/>
              <w:right w:val="single" w:sz="8" w:space="0" w:color="auto"/>
            </w:tcBorders>
            <w:shd w:val="clear" w:color="auto" w:fill="auto"/>
            <w:vAlign w:val="center"/>
          </w:tcPr>
          <w:p w14:paraId="75658158" w14:textId="2D14E3DA" w:rsidR="009E52A3" w:rsidRPr="001D6087" w:rsidRDefault="009E52A3" w:rsidP="009E52A3">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Redacción de artículos y ponencias</w:t>
            </w:r>
          </w:p>
        </w:tc>
        <w:tc>
          <w:tcPr>
            <w:tcW w:w="1564" w:type="dxa"/>
            <w:tcBorders>
              <w:top w:val="nil"/>
              <w:left w:val="nil"/>
              <w:bottom w:val="single" w:sz="4" w:space="0" w:color="auto"/>
              <w:right w:val="single" w:sz="8" w:space="0" w:color="auto"/>
            </w:tcBorders>
            <w:shd w:val="clear" w:color="auto" w:fill="auto"/>
            <w:vAlign w:val="center"/>
          </w:tcPr>
          <w:p w14:paraId="52200FA5" w14:textId="1575E110" w:rsidR="009E52A3" w:rsidRDefault="009E52A3" w:rsidP="009E52A3">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USTA-ECCI</w:t>
            </w:r>
            <w:r w:rsidRPr="001D6087">
              <w:rPr>
                <w:rFonts w:ascii="Arial" w:eastAsia="Times New Roman" w:hAnsi="Arial" w:cs="Arial"/>
                <w:sz w:val="20"/>
                <w:szCs w:val="20"/>
                <w:lang w:eastAsia="es-CO"/>
              </w:rPr>
              <w:t> </w:t>
            </w:r>
          </w:p>
        </w:tc>
        <w:tc>
          <w:tcPr>
            <w:tcW w:w="661" w:type="dxa"/>
            <w:tcBorders>
              <w:top w:val="single" w:sz="4" w:space="0" w:color="auto"/>
              <w:left w:val="single" w:sz="8" w:space="0" w:color="auto"/>
              <w:bottom w:val="single" w:sz="4" w:space="0" w:color="auto"/>
              <w:right w:val="single" w:sz="8" w:space="0" w:color="auto"/>
            </w:tcBorders>
            <w:shd w:val="clear" w:color="000000" w:fill="C0C0C0"/>
            <w:vAlign w:val="center"/>
          </w:tcPr>
          <w:p w14:paraId="3304FE64" w14:textId="6647E57F" w:rsidR="009E52A3" w:rsidRDefault="009E52A3" w:rsidP="009E52A3">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Feb 1</w:t>
            </w:r>
            <w:r w:rsidRPr="001D6087">
              <w:rPr>
                <w:rFonts w:ascii="Arial" w:eastAsia="Times New Roman" w:hAnsi="Arial" w:cs="Arial"/>
                <w:b/>
                <w:bCs/>
                <w:sz w:val="14"/>
                <w:szCs w:val="14"/>
                <w:lang w:eastAsia="es-CO"/>
              </w:rPr>
              <w:t> </w:t>
            </w:r>
          </w:p>
        </w:tc>
        <w:tc>
          <w:tcPr>
            <w:tcW w:w="751" w:type="dxa"/>
            <w:tcBorders>
              <w:top w:val="single" w:sz="4" w:space="0" w:color="auto"/>
              <w:left w:val="nil"/>
              <w:bottom w:val="single" w:sz="4" w:space="0" w:color="auto"/>
              <w:right w:val="single" w:sz="4" w:space="0" w:color="auto"/>
            </w:tcBorders>
            <w:shd w:val="clear" w:color="000000" w:fill="FF8080"/>
            <w:vAlign w:val="center"/>
          </w:tcPr>
          <w:p w14:paraId="61A006D0" w14:textId="6F3C2C4D" w:rsidR="009E52A3" w:rsidRDefault="009E52A3" w:rsidP="009E52A3">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Octu 31</w:t>
            </w:r>
          </w:p>
        </w:tc>
        <w:tc>
          <w:tcPr>
            <w:tcW w:w="196" w:type="dxa"/>
            <w:tcBorders>
              <w:top w:val="nil"/>
              <w:left w:val="single" w:sz="4" w:space="0" w:color="auto"/>
              <w:bottom w:val="nil"/>
              <w:right w:val="single" w:sz="4" w:space="0" w:color="auto"/>
            </w:tcBorders>
            <w:shd w:val="diagCross" w:color="000000" w:fill="C0C0C0"/>
            <w:vAlign w:val="center"/>
          </w:tcPr>
          <w:p w14:paraId="53323426" w14:textId="727C66C7" w:rsidR="009E52A3" w:rsidRPr="001D6087" w:rsidRDefault="009E52A3" w:rsidP="009E52A3">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92D050"/>
            <w:vAlign w:val="center"/>
          </w:tcPr>
          <w:p w14:paraId="480786CC" w14:textId="297FD435"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92D050"/>
            <w:vAlign w:val="center"/>
          </w:tcPr>
          <w:p w14:paraId="63CB16A6" w14:textId="27FCCF18"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2D050"/>
            <w:vAlign w:val="center"/>
          </w:tcPr>
          <w:p w14:paraId="0130D6A5" w14:textId="28A19D64"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2D050"/>
            <w:vAlign w:val="center"/>
          </w:tcPr>
          <w:p w14:paraId="49A7207A" w14:textId="5B1FDEB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92D050"/>
            <w:vAlign w:val="center"/>
          </w:tcPr>
          <w:p w14:paraId="2B95CC6D" w14:textId="70B00711"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2D050"/>
            <w:vAlign w:val="center"/>
          </w:tcPr>
          <w:p w14:paraId="2CD04A50" w14:textId="2C0C094B"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92D050"/>
            <w:vAlign w:val="center"/>
          </w:tcPr>
          <w:p w14:paraId="4DBFBB4C" w14:textId="64CD4E4C"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2D050"/>
            <w:vAlign w:val="center"/>
          </w:tcPr>
          <w:p w14:paraId="4F814373" w14:textId="3341A176"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2D050"/>
            <w:vAlign w:val="center"/>
          </w:tcPr>
          <w:p w14:paraId="2D0581BF" w14:textId="77DBFC43"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2D050"/>
            <w:vAlign w:val="center"/>
          </w:tcPr>
          <w:p w14:paraId="474F569A" w14:textId="4D6992B8"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49BA2018" w14:textId="662E8AC3"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046E23DF" w14:textId="228E469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1062CBC0" w14:textId="4736C9F9"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392F3EE5" w14:textId="1BEF3B5D"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tcPr>
          <w:p w14:paraId="648CAF3B" w14:textId="43C51376"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042B54B0" w14:textId="7A8863F0"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0D5C86C8" w14:textId="5D6EF8BA"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tcPr>
          <w:p w14:paraId="31AB6BE4" w14:textId="0548F23B"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1856DD60" w14:textId="5A81822C"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577773A8" w14:textId="356BA96D"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1C9CCE53" w14:textId="7E4F9376"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92D050"/>
            <w:vAlign w:val="center"/>
          </w:tcPr>
          <w:p w14:paraId="46A3F4E8" w14:textId="4DD9000A"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2D050"/>
            <w:vAlign w:val="center"/>
          </w:tcPr>
          <w:p w14:paraId="1AF74F4F" w14:textId="18E3684F"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1CAA5A2D" w14:textId="67256F05"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4E5226F8" w14:textId="2221083B"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40ADE1E5" w14:textId="68458B1C"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92D050"/>
            <w:vAlign w:val="center"/>
          </w:tcPr>
          <w:p w14:paraId="69BFD3F3" w14:textId="4EF69C8B"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tcPr>
          <w:p w14:paraId="7F32EF3C" w14:textId="65E0657F"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6010C875" w14:textId="6CA2B3A4"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7EE70D7D" w14:textId="38D29A1B"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92D050"/>
            <w:vAlign w:val="center"/>
          </w:tcPr>
          <w:p w14:paraId="00FD5E37" w14:textId="026EDDA5"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13140361" w14:textId="7239C2A1"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tcPr>
          <w:p w14:paraId="01D257D7" w14:textId="2CEC83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7D80898A" w14:textId="087C4912"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2D050"/>
            <w:vAlign w:val="center"/>
          </w:tcPr>
          <w:p w14:paraId="47295EB2" w14:textId="230BED0A"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1922A6A9" w14:textId="1B9166A3"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61606C9F" w14:textId="341B3210"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4B33F7B0" w14:textId="125C6828"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tcPr>
          <w:p w14:paraId="23B1F24E" w14:textId="7E147FEC"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tcPr>
          <w:p w14:paraId="7CA96C3B" w14:textId="737C862E"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tcPr>
          <w:p w14:paraId="0AAA01BB" w14:textId="0B347FE3"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tcPr>
          <w:p w14:paraId="371124CC" w14:textId="781ACD9A"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9E52A3" w:rsidRPr="001D6087" w14:paraId="585D6844" w14:textId="77777777" w:rsidTr="009E52A3">
        <w:trPr>
          <w:gridAfter w:val="1"/>
          <w:wAfter w:w="10" w:type="dxa"/>
          <w:trHeight w:val="302"/>
        </w:trPr>
        <w:tc>
          <w:tcPr>
            <w:tcW w:w="1584" w:type="dxa"/>
            <w:tcBorders>
              <w:top w:val="nil"/>
              <w:left w:val="single" w:sz="8" w:space="0" w:color="auto"/>
              <w:bottom w:val="single" w:sz="4" w:space="0" w:color="auto"/>
              <w:right w:val="single" w:sz="8" w:space="0" w:color="auto"/>
            </w:tcBorders>
            <w:shd w:val="clear" w:color="auto" w:fill="auto"/>
            <w:vAlign w:val="center"/>
            <w:hideMark/>
          </w:tcPr>
          <w:p w14:paraId="3F402086" w14:textId="3392E52A" w:rsidR="009E52A3" w:rsidRPr="001D6087" w:rsidRDefault="009E52A3" w:rsidP="009E52A3">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Redacción de informe final</w:t>
            </w:r>
          </w:p>
        </w:tc>
        <w:tc>
          <w:tcPr>
            <w:tcW w:w="1564" w:type="dxa"/>
            <w:tcBorders>
              <w:top w:val="nil"/>
              <w:left w:val="nil"/>
              <w:bottom w:val="single" w:sz="4" w:space="0" w:color="auto"/>
              <w:right w:val="single" w:sz="8" w:space="0" w:color="auto"/>
            </w:tcBorders>
            <w:shd w:val="clear" w:color="auto" w:fill="auto"/>
            <w:vAlign w:val="center"/>
            <w:hideMark/>
          </w:tcPr>
          <w:p w14:paraId="1A2C9591" w14:textId="256E476A" w:rsidR="009E52A3" w:rsidRPr="001D6087" w:rsidRDefault="009E52A3" w:rsidP="009E52A3">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USTA-ECCI</w:t>
            </w:r>
            <w:r w:rsidRPr="001D6087">
              <w:rPr>
                <w:rFonts w:ascii="Arial" w:eastAsia="Times New Roman" w:hAnsi="Arial" w:cs="Arial"/>
                <w:sz w:val="20"/>
                <w:szCs w:val="20"/>
                <w:lang w:eastAsia="es-CO"/>
              </w:rPr>
              <w:t> </w:t>
            </w:r>
          </w:p>
        </w:tc>
        <w:tc>
          <w:tcPr>
            <w:tcW w:w="661"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B7289D5" w14:textId="12B6681B" w:rsidR="009E52A3" w:rsidRPr="001D6087" w:rsidRDefault="009E52A3" w:rsidP="009E52A3">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Nov 1</w:t>
            </w:r>
            <w:r w:rsidRPr="001D6087">
              <w:rPr>
                <w:rFonts w:ascii="Arial" w:eastAsia="Times New Roman" w:hAnsi="Arial" w:cs="Arial"/>
                <w:b/>
                <w:bCs/>
                <w:sz w:val="14"/>
                <w:szCs w:val="14"/>
                <w:lang w:eastAsia="es-CO"/>
              </w:rPr>
              <w:t> </w:t>
            </w:r>
          </w:p>
        </w:tc>
        <w:tc>
          <w:tcPr>
            <w:tcW w:w="751" w:type="dxa"/>
            <w:tcBorders>
              <w:top w:val="single" w:sz="4" w:space="0" w:color="auto"/>
              <w:left w:val="nil"/>
              <w:bottom w:val="single" w:sz="4" w:space="0" w:color="auto"/>
              <w:right w:val="single" w:sz="4" w:space="0" w:color="auto"/>
            </w:tcBorders>
            <w:shd w:val="clear" w:color="000000" w:fill="FF8080"/>
            <w:vAlign w:val="center"/>
            <w:hideMark/>
          </w:tcPr>
          <w:p w14:paraId="341E8606" w14:textId="7AC488EE" w:rsidR="009E52A3" w:rsidRPr="001D6087" w:rsidRDefault="009E52A3" w:rsidP="009E52A3">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Nov 30</w:t>
            </w: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12085F43" w14:textId="77777777" w:rsidR="009E52A3" w:rsidRPr="001D6087" w:rsidRDefault="009E52A3" w:rsidP="009E52A3">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63B40F7"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0A382358"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6B091C1"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ED46816"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5A9FF11"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5AAF84F"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B04ACF6"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D6C5765"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061AB9D"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E016B7D"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785A93A"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DB9D1A3"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CAC4390"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7A8D423"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2DF20FB"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500DDA1"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D4335EB"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6784D57"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03BDBB1"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3681461"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AE2A97B"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348C77CD"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BDCBC15"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E28257B"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532ADD5"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443AF88"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03B19E25"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00CAB96"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11F7189"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E5358A7"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5E7CEE3C"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9CC5F77"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077591C"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DA24AD4"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61DA80C"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AC47FBE"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F657C62"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36185B5"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2D050"/>
            <w:vAlign w:val="center"/>
            <w:hideMark/>
          </w:tcPr>
          <w:p w14:paraId="1F533CE2"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hideMark/>
          </w:tcPr>
          <w:p w14:paraId="5753728E"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2D050"/>
            <w:vAlign w:val="center"/>
            <w:hideMark/>
          </w:tcPr>
          <w:p w14:paraId="375EA43A"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hideMark/>
          </w:tcPr>
          <w:p w14:paraId="44CF1B76" w14:textId="77777777" w:rsidR="009E52A3" w:rsidRPr="001D6087" w:rsidRDefault="009E52A3" w:rsidP="009E52A3">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p w14:paraId="50246A2D" w14:textId="77777777" w:rsidR="00B66D74" w:rsidRDefault="00B66D74" w:rsidP="001D6087">
      <w:pPr>
        <w:spacing w:after="0" w:line="240" w:lineRule="auto"/>
        <w:rPr>
          <w:rFonts w:ascii="Times New Roman" w:eastAsia="Times New Roman" w:hAnsi="Times New Roman" w:cs="Times New Roman"/>
          <w:sz w:val="24"/>
          <w:szCs w:val="24"/>
          <w:lang w:eastAsia="es-CO"/>
        </w:rPr>
      </w:pPr>
    </w:p>
    <w:p w14:paraId="0CF01BC0" w14:textId="77777777" w:rsidR="002F299A" w:rsidRDefault="002F299A" w:rsidP="001D6087">
      <w:pPr>
        <w:spacing w:after="0" w:line="240" w:lineRule="auto"/>
        <w:rPr>
          <w:rFonts w:ascii="Times New Roman" w:eastAsia="Times New Roman" w:hAnsi="Times New Roman" w:cs="Times New Roman"/>
          <w:sz w:val="24"/>
          <w:szCs w:val="24"/>
          <w:lang w:eastAsia="es-CO"/>
        </w:rPr>
      </w:pPr>
    </w:p>
    <w:p w14:paraId="56BFA0F4" w14:textId="77777777" w:rsidR="009E52A3" w:rsidRDefault="009E52A3" w:rsidP="001D6087">
      <w:pPr>
        <w:spacing w:after="0" w:line="240" w:lineRule="auto"/>
        <w:rPr>
          <w:rFonts w:ascii="Times New Roman" w:eastAsia="Times New Roman" w:hAnsi="Times New Roman" w:cs="Times New Roman"/>
          <w:sz w:val="24"/>
          <w:szCs w:val="24"/>
          <w:lang w:eastAsia="es-CO"/>
        </w:rPr>
      </w:pPr>
    </w:p>
    <w:tbl>
      <w:tblPr>
        <w:tblStyle w:val="Tablaconcuadrcula"/>
        <w:tblW w:w="0" w:type="auto"/>
        <w:tblLook w:val="04A0" w:firstRow="1" w:lastRow="0" w:firstColumn="1" w:lastColumn="0" w:noHBand="0" w:noVBand="1"/>
      </w:tblPr>
      <w:tblGrid>
        <w:gridCol w:w="1696"/>
        <w:gridCol w:w="1985"/>
        <w:gridCol w:w="6237"/>
        <w:gridCol w:w="1592"/>
        <w:gridCol w:w="1668"/>
        <w:gridCol w:w="1518"/>
      </w:tblGrid>
      <w:tr w:rsidR="009E52A3" w14:paraId="35324DD6" w14:textId="77777777" w:rsidTr="00420E72">
        <w:tc>
          <w:tcPr>
            <w:tcW w:w="1696" w:type="dxa"/>
            <w:shd w:val="clear" w:color="auto" w:fill="F2F2F2" w:themeFill="background1" w:themeFillShade="F2"/>
            <w:vAlign w:val="center"/>
          </w:tcPr>
          <w:p w14:paraId="5C14E48A" w14:textId="43CCA119" w:rsidR="009E52A3" w:rsidRDefault="009E52A3" w:rsidP="009E52A3">
            <w:pPr>
              <w:jc w:val="center"/>
              <w:rPr>
                <w:rFonts w:ascii="Times New Roman" w:eastAsia="Times New Roman" w:hAnsi="Times New Roman" w:cs="Times New Roman"/>
                <w:sz w:val="24"/>
                <w:szCs w:val="24"/>
                <w:lang w:eastAsia="es-CO"/>
              </w:rPr>
            </w:pPr>
            <w:r>
              <w:rPr>
                <w:rFonts w:cstheme="minorHAnsi"/>
                <w:b/>
                <w:sz w:val="16"/>
                <w:szCs w:val="16"/>
              </w:rPr>
              <w:t>FINANCIACIÓN</w:t>
            </w:r>
          </w:p>
        </w:tc>
        <w:tc>
          <w:tcPr>
            <w:tcW w:w="1985" w:type="dxa"/>
            <w:shd w:val="clear" w:color="auto" w:fill="F2F2F2" w:themeFill="background1" w:themeFillShade="F2"/>
            <w:vAlign w:val="center"/>
          </w:tcPr>
          <w:p w14:paraId="28905AED" w14:textId="1C4D1360" w:rsidR="009E52A3" w:rsidRDefault="009E52A3" w:rsidP="009E52A3">
            <w:pPr>
              <w:jc w:val="center"/>
              <w:rPr>
                <w:rFonts w:ascii="Times New Roman" w:eastAsia="Times New Roman" w:hAnsi="Times New Roman" w:cs="Times New Roman"/>
                <w:sz w:val="24"/>
                <w:szCs w:val="24"/>
                <w:lang w:eastAsia="es-CO"/>
              </w:rPr>
            </w:pPr>
            <w:r>
              <w:rPr>
                <w:rFonts w:cstheme="minorHAnsi"/>
                <w:b/>
                <w:sz w:val="20"/>
                <w:szCs w:val="16"/>
              </w:rPr>
              <w:t>RECURSO</w:t>
            </w:r>
          </w:p>
        </w:tc>
        <w:tc>
          <w:tcPr>
            <w:tcW w:w="6237" w:type="dxa"/>
            <w:shd w:val="clear" w:color="auto" w:fill="F2F2F2" w:themeFill="background1" w:themeFillShade="F2"/>
            <w:vAlign w:val="center"/>
          </w:tcPr>
          <w:p w14:paraId="44FCF2F1" w14:textId="53ED14CD" w:rsidR="009E52A3" w:rsidRDefault="009E52A3" w:rsidP="009E52A3">
            <w:pPr>
              <w:jc w:val="center"/>
              <w:rPr>
                <w:rFonts w:ascii="Times New Roman" w:eastAsia="Times New Roman" w:hAnsi="Times New Roman" w:cs="Times New Roman"/>
                <w:sz w:val="24"/>
                <w:szCs w:val="24"/>
                <w:lang w:eastAsia="es-CO"/>
              </w:rPr>
            </w:pPr>
            <w:r>
              <w:rPr>
                <w:rFonts w:cstheme="minorHAnsi"/>
                <w:b/>
                <w:sz w:val="20"/>
                <w:szCs w:val="16"/>
              </w:rPr>
              <w:t>DESCRIPCIÓN</w:t>
            </w:r>
          </w:p>
        </w:tc>
        <w:tc>
          <w:tcPr>
            <w:tcW w:w="1592" w:type="dxa"/>
            <w:shd w:val="clear" w:color="auto" w:fill="F2F2F2" w:themeFill="background1" w:themeFillShade="F2"/>
            <w:vAlign w:val="center"/>
          </w:tcPr>
          <w:p w14:paraId="3700CDE9" w14:textId="4943EEE3" w:rsidR="009E52A3" w:rsidRDefault="009E52A3" w:rsidP="009E52A3">
            <w:pPr>
              <w:jc w:val="center"/>
              <w:rPr>
                <w:rFonts w:ascii="Times New Roman" w:eastAsia="Times New Roman" w:hAnsi="Times New Roman" w:cs="Times New Roman"/>
                <w:sz w:val="24"/>
                <w:szCs w:val="24"/>
                <w:lang w:eastAsia="es-CO"/>
              </w:rPr>
            </w:pPr>
            <w:r w:rsidRPr="009E52A3">
              <w:rPr>
                <w:rFonts w:cstheme="minorHAnsi"/>
                <w:b/>
                <w:sz w:val="16"/>
                <w:szCs w:val="16"/>
              </w:rPr>
              <w:t>Valor partida</w:t>
            </w:r>
          </w:p>
        </w:tc>
        <w:tc>
          <w:tcPr>
            <w:tcW w:w="1668" w:type="dxa"/>
            <w:shd w:val="clear" w:color="auto" w:fill="F2F2F2" w:themeFill="background1" w:themeFillShade="F2"/>
            <w:vAlign w:val="center"/>
          </w:tcPr>
          <w:p w14:paraId="34E82CA0" w14:textId="4E306251" w:rsidR="009E52A3" w:rsidRDefault="009E52A3" w:rsidP="009E52A3">
            <w:pPr>
              <w:jc w:val="center"/>
              <w:rPr>
                <w:rFonts w:ascii="Times New Roman" w:eastAsia="Times New Roman" w:hAnsi="Times New Roman" w:cs="Times New Roman"/>
                <w:sz w:val="24"/>
                <w:szCs w:val="24"/>
                <w:lang w:eastAsia="es-CO"/>
              </w:rPr>
            </w:pPr>
            <w:r w:rsidRPr="009E52A3">
              <w:rPr>
                <w:rFonts w:cstheme="minorHAnsi"/>
                <w:b/>
                <w:sz w:val="16"/>
                <w:szCs w:val="16"/>
              </w:rPr>
              <w:t>Valor contrapartida (Externa)</w:t>
            </w:r>
          </w:p>
        </w:tc>
        <w:tc>
          <w:tcPr>
            <w:tcW w:w="1518" w:type="dxa"/>
            <w:shd w:val="clear" w:color="auto" w:fill="F2F2F2" w:themeFill="background1" w:themeFillShade="F2"/>
            <w:vAlign w:val="center"/>
          </w:tcPr>
          <w:p w14:paraId="4A04CCD1" w14:textId="31388DD3" w:rsidR="009E52A3" w:rsidRDefault="009E52A3" w:rsidP="009E52A3">
            <w:pPr>
              <w:jc w:val="center"/>
              <w:rPr>
                <w:rFonts w:ascii="Times New Roman" w:eastAsia="Times New Roman" w:hAnsi="Times New Roman" w:cs="Times New Roman"/>
                <w:sz w:val="24"/>
                <w:szCs w:val="24"/>
                <w:lang w:eastAsia="es-CO"/>
              </w:rPr>
            </w:pPr>
            <w:r w:rsidRPr="009E52A3">
              <w:rPr>
                <w:rFonts w:cstheme="minorHAnsi"/>
                <w:b/>
                <w:sz w:val="16"/>
                <w:szCs w:val="16"/>
              </w:rPr>
              <w:t>Total ($)</w:t>
            </w:r>
          </w:p>
        </w:tc>
      </w:tr>
      <w:tr w:rsidR="009E52A3" w14:paraId="44779388" w14:textId="77777777" w:rsidTr="00420E72">
        <w:tc>
          <w:tcPr>
            <w:tcW w:w="1696" w:type="dxa"/>
            <w:vMerge w:val="restart"/>
            <w:vAlign w:val="center"/>
          </w:tcPr>
          <w:p w14:paraId="65E0D166" w14:textId="72FDFA31" w:rsidR="009E52A3" w:rsidRPr="009E52A3" w:rsidRDefault="009E52A3" w:rsidP="009E52A3">
            <w:pPr>
              <w:jc w:val="center"/>
              <w:rPr>
                <w:rFonts w:ascii="Times New Roman" w:eastAsia="Times New Roman" w:hAnsi="Times New Roman" w:cs="Times New Roman"/>
                <w:b/>
                <w:sz w:val="24"/>
                <w:szCs w:val="24"/>
                <w:lang w:eastAsia="es-CO"/>
              </w:rPr>
            </w:pPr>
            <w:r w:rsidRPr="009E52A3">
              <w:rPr>
                <w:rFonts w:cstheme="minorHAnsi"/>
                <w:b/>
                <w:sz w:val="20"/>
                <w:szCs w:val="16"/>
              </w:rPr>
              <w:t>RUBROS</w:t>
            </w:r>
          </w:p>
        </w:tc>
        <w:tc>
          <w:tcPr>
            <w:tcW w:w="1985" w:type="dxa"/>
            <w:vAlign w:val="center"/>
          </w:tcPr>
          <w:p w14:paraId="7CCE1AE8" w14:textId="28DEAFB6"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Servicios Técnicos</w:t>
            </w:r>
          </w:p>
        </w:tc>
        <w:tc>
          <w:tcPr>
            <w:tcW w:w="6237" w:type="dxa"/>
            <w:vAlign w:val="center"/>
          </w:tcPr>
          <w:p w14:paraId="09EB22DB" w14:textId="0207AEC4" w:rsidR="009E52A3" w:rsidRDefault="009E52A3" w:rsidP="00420E72">
            <w:pPr>
              <w:jc w:val="both"/>
              <w:rPr>
                <w:rFonts w:ascii="Times New Roman" w:eastAsia="Times New Roman" w:hAnsi="Times New Roman" w:cs="Times New Roman"/>
                <w:sz w:val="24"/>
                <w:szCs w:val="24"/>
                <w:lang w:eastAsia="es-CO"/>
              </w:rPr>
            </w:pPr>
            <w:r>
              <w:rPr>
                <w:rFonts w:cstheme="minorHAnsi"/>
                <w:sz w:val="20"/>
                <w:szCs w:val="20"/>
              </w:rPr>
              <w:t>Se requiere la contratación de servicios de cromatografía para la determinación de componentes en los extractos. La Universidad ECCI aportará los servicios de FTIT, SEM y absorción atómica, así como el uso de laboratorios para la realización de ensayos requeridos en el proyecto.</w:t>
            </w:r>
          </w:p>
        </w:tc>
        <w:tc>
          <w:tcPr>
            <w:tcW w:w="1592" w:type="dxa"/>
            <w:vAlign w:val="center"/>
          </w:tcPr>
          <w:p w14:paraId="1CA4E6AE" w14:textId="7BC839EA"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$ 8.000.000</w:t>
            </w:r>
          </w:p>
        </w:tc>
        <w:tc>
          <w:tcPr>
            <w:tcW w:w="1668" w:type="dxa"/>
            <w:vAlign w:val="center"/>
          </w:tcPr>
          <w:p w14:paraId="7D3260BF" w14:textId="4B62C65D"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$ 11.200.000</w:t>
            </w:r>
          </w:p>
        </w:tc>
        <w:tc>
          <w:tcPr>
            <w:tcW w:w="1518" w:type="dxa"/>
            <w:vAlign w:val="center"/>
          </w:tcPr>
          <w:p w14:paraId="10B680CB" w14:textId="2760AE09"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$ 19.200.000</w:t>
            </w:r>
          </w:p>
        </w:tc>
      </w:tr>
      <w:tr w:rsidR="009E52A3" w14:paraId="61DB33D1" w14:textId="77777777" w:rsidTr="00420E72">
        <w:tc>
          <w:tcPr>
            <w:tcW w:w="1696" w:type="dxa"/>
            <w:vMerge/>
            <w:vAlign w:val="center"/>
          </w:tcPr>
          <w:p w14:paraId="3A63B38E" w14:textId="77777777" w:rsidR="009E52A3" w:rsidRPr="009E52A3" w:rsidRDefault="009E52A3" w:rsidP="009E52A3">
            <w:pPr>
              <w:jc w:val="center"/>
              <w:rPr>
                <w:rFonts w:ascii="Times New Roman" w:eastAsia="Times New Roman" w:hAnsi="Times New Roman" w:cs="Times New Roman"/>
                <w:b/>
                <w:sz w:val="24"/>
                <w:szCs w:val="24"/>
                <w:lang w:eastAsia="es-CO"/>
              </w:rPr>
            </w:pPr>
          </w:p>
        </w:tc>
        <w:tc>
          <w:tcPr>
            <w:tcW w:w="1985" w:type="dxa"/>
            <w:vAlign w:val="center"/>
          </w:tcPr>
          <w:p w14:paraId="1DEC1EB0" w14:textId="4301575A"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Salidas de campo</w:t>
            </w:r>
          </w:p>
        </w:tc>
        <w:tc>
          <w:tcPr>
            <w:tcW w:w="6237" w:type="dxa"/>
            <w:vAlign w:val="center"/>
          </w:tcPr>
          <w:p w14:paraId="06620016" w14:textId="77777777" w:rsidR="009E52A3" w:rsidRDefault="009E52A3" w:rsidP="00420E72">
            <w:pPr>
              <w:jc w:val="both"/>
              <w:rPr>
                <w:rFonts w:ascii="Times New Roman" w:eastAsia="Times New Roman" w:hAnsi="Times New Roman" w:cs="Times New Roman"/>
                <w:sz w:val="24"/>
                <w:szCs w:val="24"/>
                <w:lang w:eastAsia="es-CO"/>
              </w:rPr>
            </w:pPr>
          </w:p>
        </w:tc>
        <w:tc>
          <w:tcPr>
            <w:tcW w:w="1592" w:type="dxa"/>
            <w:vAlign w:val="center"/>
          </w:tcPr>
          <w:p w14:paraId="78A9FDAB" w14:textId="2580E77F"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0</w:t>
            </w:r>
          </w:p>
        </w:tc>
        <w:tc>
          <w:tcPr>
            <w:tcW w:w="1668" w:type="dxa"/>
            <w:vAlign w:val="center"/>
          </w:tcPr>
          <w:p w14:paraId="2C75735F" w14:textId="5D3DB7C5"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0</w:t>
            </w:r>
          </w:p>
        </w:tc>
        <w:tc>
          <w:tcPr>
            <w:tcW w:w="1518" w:type="dxa"/>
            <w:vAlign w:val="center"/>
          </w:tcPr>
          <w:p w14:paraId="30D7CCDE" w14:textId="23BFE918"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$ 0</w:t>
            </w:r>
          </w:p>
        </w:tc>
      </w:tr>
      <w:tr w:rsidR="009E52A3" w14:paraId="0F92424A" w14:textId="77777777" w:rsidTr="00420E72">
        <w:tc>
          <w:tcPr>
            <w:tcW w:w="1696" w:type="dxa"/>
            <w:vMerge/>
            <w:vAlign w:val="center"/>
          </w:tcPr>
          <w:p w14:paraId="315FCA98" w14:textId="77777777" w:rsidR="009E52A3" w:rsidRPr="009E52A3" w:rsidRDefault="009E52A3" w:rsidP="009E52A3">
            <w:pPr>
              <w:jc w:val="center"/>
              <w:rPr>
                <w:rFonts w:ascii="Times New Roman" w:eastAsia="Times New Roman" w:hAnsi="Times New Roman" w:cs="Times New Roman"/>
                <w:b/>
                <w:sz w:val="24"/>
                <w:szCs w:val="24"/>
                <w:lang w:eastAsia="es-CO"/>
              </w:rPr>
            </w:pPr>
          </w:p>
        </w:tc>
        <w:tc>
          <w:tcPr>
            <w:tcW w:w="1985" w:type="dxa"/>
            <w:vAlign w:val="center"/>
          </w:tcPr>
          <w:p w14:paraId="42EBF1C0" w14:textId="145E001C"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Equipos</w:t>
            </w:r>
          </w:p>
        </w:tc>
        <w:tc>
          <w:tcPr>
            <w:tcW w:w="6237" w:type="dxa"/>
            <w:vAlign w:val="center"/>
          </w:tcPr>
          <w:p w14:paraId="70A625FE" w14:textId="7536E319" w:rsidR="009E52A3" w:rsidRDefault="009E52A3" w:rsidP="00420E72">
            <w:pPr>
              <w:jc w:val="both"/>
              <w:rPr>
                <w:rFonts w:ascii="Times New Roman" w:eastAsia="Times New Roman" w:hAnsi="Times New Roman" w:cs="Times New Roman"/>
                <w:sz w:val="24"/>
                <w:szCs w:val="24"/>
                <w:lang w:eastAsia="es-CO"/>
              </w:rPr>
            </w:pPr>
            <w:r>
              <w:rPr>
                <w:rFonts w:cstheme="minorHAnsi"/>
                <w:sz w:val="20"/>
                <w:szCs w:val="20"/>
              </w:rPr>
              <w:t xml:space="preserve">Se requiere la compra de un equipo </w:t>
            </w:r>
            <w:r>
              <w:t xml:space="preserve"> </w:t>
            </w:r>
            <w:r w:rsidRPr="00A201EA">
              <w:rPr>
                <w:rFonts w:cstheme="minorHAnsi"/>
                <w:sz w:val="20"/>
                <w:szCs w:val="20"/>
              </w:rPr>
              <w:t>termohigrómetro datalogger</w:t>
            </w:r>
            <w:r>
              <w:rPr>
                <w:rFonts w:cstheme="minorHAnsi"/>
                <w:sz w:val="20"/>
                <w:szCs w:val="20"/>
              </w:rPr>
              <w:t xml:space="preserve">, un rotaevaporador, </w:t>
            </w:r>
          </w:p>
        </w:tc>
        <w:tc>
          <w:tcPr>
            <w:tcW w:w="1592" w:type="dxa"/>
            <w:vAlign w:val="center"/>
          </w:tcPr>
          <w:p w14:paraId="310C79E9" w14:textId="55B3275F"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$ 8.000.000</w:t>
            </w:r>
          </w:p>
        </w:tc>
        <w:tc>
          <w:tcPr>
            <w:tcW w:w="1668" w:type="dxa"/>
            <w:vAlign w:val="center"/>
          </w:tcPr>
          <w:p w14:paraId="46ADA434" w14:textId="54FA59ED"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$ 2.000.000 (uso de equipo de la U. ECCI)</w:t>
            </w:r>
          </w:p>
        </w:tc>
        <w:tc>
          <w:tcPr>
            <w:tcW w:w="1518" w:type="dxa"/>
            <w:vAlign w:val="center"/>
          </w:tcPr>
          <w:p w14:paraId="0E814073" w14:textId="2358C0F3"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$ 10.000.000</w:t>
            </w:r>
          </w:p>
        </w:tc>
      </w:tr>
      <w:tr w:rsidR="009E52A3" w14:paraId="4A7DD6C7" w14:textId="77777777" w:rsidTr="00420E72">
        <w:tc>
          <w:tcPr>
            <w:tcW w:w="1696" w:type="dxa"/>
            <w:vMerge/>
            <w:vAlign w:val="center"/>
          </w:tcPr>
          <w:p w14:paraId="7905C16F" w14:textId="77777777" w:rsidR="009E52A3" w:rsidRPr="009E52A3" w:rsidRDefault="009E52A3" w:rsidP="009E52A3">
            <w:pPr>
              <w:jc w:val="center"/>
              <w:rPr>
                <w:rFonts w:ascii="Times New Roman" w:eastAsia="Times New Roman" w:hAnsi="Times New Roman" w:cs="Times New Roman"/>
                <w:b/>
                <w:sz w:val="24"/>
                <w:szCs w:val="24"/>
                <w:lang w:eastAsia="es-CO"/>
              </w:rPr>
            </w:pPr>
          </w:p>
        </w:tc>
        <w:tc>
          <w:tcPr>
            <w:tcW w:w="1985" w:type="dxa"/>
            <w:vAlign w:val="center"/>
          </w:tcPr>
          <w:p w14:paraId="6CDAB423" w14:textId="1EEEFAAE"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Materiales, insumos y software</w:t>
            </w:r>
          </w:p>
        </w:tc>
        <w:tc>
          <w:tcPr>
            <w:tcW w:w="6237" w:type="dxa"/>
            <w:vAlign w:val="center"/>
          </w:tcPr>
          <w:p w14:paraId="1D3D8373" w14:textId="511394DD" w:rsidR="009E52A3" w:rsidRDefault="009E52A3" w:rsidP="00420E72">
            <w:pPr>
              <w:jc w:val="both"/>
              <w:rPr>
                <w:rFonts w:ascii="Times New Roman" w:eastAsia="Times New Roman" w:hAnsi="Times New Roman" w:cs="Times New Roman"/>
                <w:sz w:val="24"/>
                <w:szCs w:val="24"/>
                <w:lang w:eastAsia="es-CO"/>
              </w:rPr>
            </w:pPr>
            <w:r>
              <w:rPr>
                <w:rFonts w:cstheme="minorHAnsi"/>
                <w:sz w:val="20"/>
                <w:szCs w:val="20"/>
              </w:rPr>
              <w:t xml:space="preserve">Se requiere la compra de solventes, insumos para el equipo soxhlet, insumos de laboratorio, papel filtro, </w:t>
            </w:r>
          </w:p>
        </w:tc>
        <w:tc>
          <w:tcPr>
            <w:tcW w:w="1592" w:type="dxa"/>
            <w:vAlign w:val="center"/>
          </w:tcPr>
          <w:p w14:paraId="5BE8996F" w14:textId="7742D034"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$ 5.000.000</w:t>
            </w:r>
          </w:p>
        </w:tc>
        <w:tc>
          <w:tcPr>
            <w:tcW w:w="1668" w:type="dxa"/>
            <w:vAlign w:val="center"/>
          </w:tcPr>
          <w:p w14:paraId="05531C2E" w14:textId="593A46A3"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0</w:t>
            </w:r>
          </w:p>
        </w:tc>
        <w:tc>
          <w:tcPr>
            <w:tcW w:w="1518" w:type="dxa"/>
            <w:vAlign w:val="center"/>
          </w:tcPr>
          <w:p w14:paraId="606CD6EB" w14:textId="2BB4BCD9"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16"/>
              </w:rPr>
              <w:t>$ 5.000.000</w:t>
            </w:r>
          </w:p>
        </w:tc>
      </w:tr>
      <w:tr w:rsidR="009E52A3" w14:paraId="27631012" w14:textId="77777777" w:rsidTr="00420E72">
        <w:tc>
          <w:tcPr>
            <w:tcW w:w="1696" w:type="dxa"/>
            <w:vMerge w:val="restart"/>
            <w:vAlign w:val="center"/>
          </w:tcPr>
          <w:p w14:paraId="58A56F3A" w14:textId="7CA800BB" w:rsidR="009E52A3" w:rsidRPr="009E52A3" w:rsidRDefault="009E52A3" w:rsidP="009E52A3">
            <w:pPr>
              <w:jc w:val="center"/>
              <w:rPr>
                <w:rFonts w:ascii="Times New Roman" w:eastAsia="Times New Roman" w:hAnsi="Times New Roman" w:cs="Times New Roman"/>
                <w:b/>
                <w:sz w:val="24"/>
                <w:szCs w:val="24"/>
                <w:lang w:eastAsia="es-CO"/>
              </w:rPr>
            </w:pPr>
            <w:r w:rsidRPr="009E52A3">
              <w:rPr>
                <w:rFonts w:cstheme="minorHAnsi"/>
                <w:b/>
                <w:sz w:val="20"/>
                <w:szCs w:val="16"/>
              </w:rPr>
              <w:t>BOLSAS</w:t>
            </w:r>
          </w:p>
        </w:tc>
        <w:tc>
          <w:tcPr>
            <w:tcW w:w="1985" w:type="dxa"/>
            <w:vAlign w:val="center"/>
          </w:tcPr>
          <w:p w14:paraId="5DA8E33A" w14:textId="4FBD9E4F"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Papelería</w:t>
            </w:r>
          </w:p>
        </w:tc>
        <w:tc>
          <w:tcPr>
            <w:tcW w:w="6237" w:type="dxa"/>
            <w:vAlign w:val="center"/>
          </w:tcPr>
          <w:p w14:paraId="33221C23" w14:textId="77777777" w:rsidR="009E52A3" w:rsidRDefault="009E52A3" w:rsidP="00420E72">
            <w:pPr>
              <w:jc w:val="both"/>
              <w:rPr>
                <w:rFonts w:ascii="Times New Roman" w:eastAsia="Times New Roman" w:hAnsi="Times New Roman" w:cs="Times New Roman"/>
                <w:sz w:val="24"/>
                <w:szCs w:val="24"/>
                <w:lang w:eastAsia="es-CO"/>
              </w:rPr>
            </w:pPr>
          </w:p>
        </w:tc>
        <w:tc>
          <w:tcPr>
            <w:tcW w:w="1592" w:type="dxa"/>
            <w:vAlign w:val="center"/>
          </w:tcPr>
          <w:p w14:paraId="3E9E2C0D" w14:textId="386F0F7F"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668" w:type="dxa"/>
            <w:vAlign w:val="center"/>
          </w:tcPr>
          <w:p w14:paraId="550CD78C" w14:textId="17B249F7"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518" w:type="dxa"/>
            <w:vAlign w:val="center"/>
          </w:tcPr>
          <w:p w14:paraId="68B5F41E" w14:textId="2DCC3F81"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0</w:t>
            </w:r>
          </w:p>
        </w:tc>
      </w:tr>
      <w:tr w:rsidR="009E52A3" w14:paraId="58A2CBD5" w14:textId="77777777" w:rsidTr="00420E72">
        <w:tc>
          <w:tcPr>
            <w:tcW w:w="1696" w:type="dxa"/>
            <w:vMerge/>
          </w:tcPr>
          <w:p w14:paraId="1E6C4EF8" w14:textId="77777777" w:rsidR="009E52A3" w:rsidRDefault="009E52A3" w:rsidP="009E52A3">
            <w:pPr>
              <w:rPr>
                <w:rFonts w:ascii="Times New Roman" w:eastAsia="Times New Roman" w:hAnsi="Times New Roman" w:cs="Times New Roman"/>
                <w:sz w:val="24"/>
                <w:szCs w:val="24"/>
                <w:lang w:eastAsia="es-CO"/>
              </w:rPr>
            </w:pPr>
          </w:p>
        </w:tc>
        <w:tc>
          <w:tcPr>
            <w:tcW w:w="1985" w:type="dxa"/>
            <w:vAlign w:val="center"/>
          </w:tcPr>
          <w:p w14:paraId="3C1E3E0F" w14:textId="0FAD093D"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Fotocopias</w:t>
            </w:r>
          </w:p>
        </w:tc>
        <w:tc>
          <w:tcPr>
            <w:tcW w:w="6237" w:type="dxa"/>
            <w:vAlign w:val="center"/>
          </w:tcPr>
          <w:p w14:paraId="6F3FA79A" w14:textId="77777777" w:rsidR="009E52A3" w:rsidRDefault="009E52A3" w:rsidP="00420E72">
            <w:pPr>
              <w:jc w:val="both"/>
              <w:rPr>
                <w:rFonts w:ascii="Times New Roman" w:eastAsia="Times New Roman" w:hAnsi="Times New Roman" w:cs="Times New Roman"/>
                <w:sz w:val="24"/>
                <w:szCs w:val="24"/>
                <w:lang w:eastAsia="es-CO"/>
              </w:rPr>
            </w:pPr>
          </w:p>
        </w:tc>
        <w:tc>
          <w:tcPr>
            <w:tcW w:w="1592" w:type="dxa"/>
            <w:vAlign w:val="center"/>
          </w:tcPr>
          <w:p w14:paraId="780DBD32" w14:textId="7C4826AC"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668" w:type="dxa"/>
            <w:vAlign w:val="center"/>
          </w:tcPr>
          <w:p w14:paraId="422029EA" w14:textId="7700998E"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518" w:type="dxa"/>
            <w:vAlign w:val="center"/>
          </w:tcPr>
          <w:p w14:paraId="66F4CE7F" w14:textId="6D0FCD33"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0</w:t>
            </w:r>
          </w:p>
        </w:tc>
      </w:tr>
      <w:tr w:rsidR="009E52A3" w14:paraId="7A17EE0D" w14:textId="77777777" w:rsidTr="00420E72">
        <w:tc>
          <w:tcPr>
            <w:tcW w:w="1696" w:type="dxa"/>
            <w:vMerge/>
          </w:tcPr>
          <w:p w14:paraId="78728138" w14:textId="77777777" w:rsidR="009E52A3" w:rsidRDefault="009E52A3" w:rsidP="009E52A3">
            <w:pPr>
              <w:rPr>
                <w:rFonts w:ascii="Times New Roman" w:eastAsia="Times New Roman" w:hAnsi="Times New Roman" w:cs="Times New Roman"/>
                <w:sz w:val="24"/>
                <w:szCs w:val="24"/>
                <w:lang w:eastAsia="es-CO"/>
              </w:rPr>
            </w:pPr>
          </w:p>
        </w:tc>
        <w:tc>
          <w:tcPr>
            <w:tcW w:w="1985" w:type="dxa"/>
            <w:vAlign w:val="center"/>
          </w:tcPr>
          <w:p w14:paraId="5BD42F30" w14:textId="12401E08"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Material bibliográfico</w:t>
            </w:r>
          </w:p>
        </w:tc>
        <w:tc>
          <w:tcPr>
            <w:tcW w:w="6237" w:type="dxa"/>
            <w:vAlign w:val="center"/>
          </w:tcPr>
          <w:p w14:paraId="7623295D" w14:textId="77777777" w:rsidR="009E52A3" w:rsidRDefault="009E52A3" w:rsidP="00420E72">
            <w:pPr>
              <w:jc w:val="both"/>
              <w:rPr>
                <w:rFonts w:ascii="Times New Roman" w:eastAsia="Times New Roman" w:hAnsi="Times New Roman" w:cs="Times New Roman"/>
                <w:sz w:val="24"/>
                <w:szCs w:val="24"/>
                <w:lang w:eastAsia="es-CO"/>
              </w:rPr>
            </w:pPr>
          </w:p>
        </w:tc>
        <w:tc>
          <w:tcPr>
            <w:tcW w:w="1592" w:type="dxa"/>
            <w:vAlign w:val="center"/>
          </w:tcPr>
          <w:p w14:paraId="3DF6C853" w14:textId="40CCE02A"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668" w:type="dxa"/>
            <w:vAlign w:val="center"/>
          </w:tcPr>
          <w:p w14:paraId="3F6FF597" w14:textId="0EC07B22"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518" w:type="dxa"/>
            <w:vAlign w:val="center"/>
          </w:tcPr>
          <w:p w14:paraId="452D68BD" w14:textId="77777777" w:rsidR="009E52A3" w:rsidRDefault="009E52A3" w:rsidP="009E52A3">
            <w:pPr>
              <w:jc w:val="center"/>
              <w:rPr>
                <w:rFonts w:ascii="Times New Roman" w:eastAsia="Times New Roman" w:hAnsi="Times New Roman" w:cs="Times New Roman"/>
                <w:sz w:val="24"/>
                <w:szCs w:val="24"/>
                <w:lang w:eastAsia="es-CO"/>
              </w:rPr>
            </w:pPr>
          </w:p>
        </w:tc>
      </w:tr>
      <w:tr w:rsidR="009E52A3" w14:paraId="61EF9E2D" w14:textId="77777777" w:rsidTr="00420E72">
        <w:tc>
          <w:tcPr>
            <w:tcW w:w="1696" w:type="dxa"/>
            <w:vMerge/>
          </w:tcPr>
          <w:p w14:paraId="72FCE735" w14:textId="77777777" w:rsidR="009E52A3" w:rsidRDefault="009E52A3" w:rsidP="009E52A3">
            <w:pPr>
              <w:rPr>
                <w:rFonts w:ascii="Times New Roman" w:eastAsia="Times New Roman" w:hAnsi="Times New Roman" w:cs="Times New Roman"/>
                <w:sz w:val="24"/>
                <w:szCs w:val="24"/>
                <w:lang w:eastAsia="es-CO"/>
              </w:rPr>
            </w:pPr>
          </w:p>
        </w:tc>
        <w:tc>
          <w:tcPr>
            <w:tcW w:w="1985" w:type="dxa"/>
            <w:vAlign w:val="center"/>
          </w:tcPr>
          <w:p w14:paraId="6B3EDBC8" w14:textId="094092F5"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Auxilio de transporte</w:t>
            </w:r>
          </w:p>
        </w:tc>
        <w:tc>
          <w:tcPr>
            <w:tcW w:w="6237" w:type="dxa"/>
            <w:vAlign w:val="center"/>
          </w:tcPr>
          <w:p w14:paraId="6582677D" w14:textId="77777777" w:rsidR="009E52A3" w:rsidRDefault="009E52A3" w:rsidP="00420E72">
            <w:pPr>
              <w:jc w:val="both"/>
              <w:rPr>
                <w:rFonts w:ascii="Times New Roman" w:eastAsia="Times New Roman" w:hAnsi="Times New Roman" w:cs="Times New Roman"/>
                <w:sz w:val="24"/>
                <w:szCs w:val="24"/>
                <w:lang w:eastAsia="es-CO"/>
              </w:rPr>
            </w:pPr>
          </w:p>
        </w:tc>
        <w:tc>
          <w:tcPr>
            <w:tcW w:w="1592" w:type="dxa"/>
            <w:vAlign w:val="center"/>
          </w:tcPr>
          <w:p w14:paraId="56C90C89" w14:textId="0D527F0C"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668" w:type="dxa"/>
            <w:vAlign w:val="center"/>
          </w:tcPr>
          <w:p w14:paraId="79F2D3B6" w14:textId="30E0B21F"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518" w:type="dxa"/>
            <w:vAlign w:val="center"/>
          </w:tcPr>
          <w:p w14:paraId="73B0D531" w14:textId="371E2308"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$ 0</w:t>
            </w:r>
          </w:p>
        </w:tc>
      </w:tr>
      <w:tr w:rsidR="009E52A3" w14:paraId="4B1E5197" w14:textId="77777777" w:rsidTr="00420E72">
        <w:tc>
          <w:tcPr>
            <w:tcW w:w="1696" w:type="dxa"/>
            <w:vMerge/>
          </w:tcPr>
          <w:p w14:paraId="566932BB" w14:textId="77777777" w:rsidR="009E52A3" w:rsidRDefault="009E52A3" w:rsidP="009E52A3">
            <w:pPr>
              <w:rPr>
                <w:rFonts w:ascii="Times New Roman" w:eastAsia="Times New Roman" w:hAnsi="Times New Roman" w:cs="Times New Roman"/>
                <w:sz w:val="24"/>
                <w:szCs w:val="24"/>
                <w:lang w:eastAsia="es-CO"/>
              </w:rPr>
            </w:pPr>
          </w:p>
        </w:tc>
        <w:tc>
          <w:tcPr>
            <w:tcW w:w="1985" w:type="dxa"/>
            <w:vAlign w:val="center"/>
          </w:tcPr>
          <w:p w14:paraId="1CCC165D" w14:textId="1A32C698"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 xml:space="preserve">Movilidad </w:t>
            </w:r>
          </w:p>
        </w:tc>
        <w:tc>
          <w:tcPr>
            <w:tcW w:w="6237" w:type="dxa"/>
            <w:vAlign w:val="center"/>
          </w:tcPr>
          <w:p w14:paraId="5C82ACE0" w14:textId="28F98325" w:rsidR="009E52A3" w:rsidRDefault="009E52A3" w:rsidP="00420E72">
            <w:pPr>
              <w:jc w:val="both"/>
              <w:rPr>
                <w:rFonts w:ascii="Times New Roman" w:eastAsia="Times New Roman" w:hAnsi="Times New Roman" w:cs="Times New Roman"/>
                <w:sz w:val="24"/>
                <w:szCs w:val="24"/>
                <w:lang w:eastAsia="es-CO"/>
              </w:rPr>
            </w:pPr>
            <w:r>
              <w:rPr>
                <w:rFonts w:cstheme="minorHAnsi"/>
                <w:sz w:val="20"/>
                <w:szCs w:val="20"/>
              </w:rPr>
              <w:t>Se requiere realizar presentación de resultados en  congreso de corte internacional</w:t>
            </w:r>
          </w:p>
        </w:tc>
        <w:tc>
          <w:tcPr>
            <w:tcW w:w="1592" w:type="dxa"/>
            <w:vAlign w:val="center"/>
          </w:tcPr>
          <w:p w14:paraId="1C2EE4F8" w14:textId="0728F8B0"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$ 10.000.000</w:t>
            </w:r>
          </w:p>
        </w:tc>
        <w:tc>
          <w:tcPr>
            <w:tcW w:w="1668" w:type="dxa"/>
            <w:vAlign w:val="center"/>
          </w:tcPr>
          <w:p w14:paraId="4E12BE88" w14:textId="49D92E09"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0</w:t>
            </w:r>
          </w:p>
        </w:tc>
        <w:tc>
          <w:tcPr>
            <w:tcW w:w="1518" w:type="dxa"/>
            <w:vAlign w:val="center"/>
          </w:tcPr>
          <w:p w14:paraId="40244956" w14:textId="2BC7EEA8"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$ 10.000.000</w:t>
            </w:r>
          </w:p>
        </w:tc>
      </w:tr>
      <w:tr w:rsidR="009E52A3" w14:paraId="692CBC30" w14:textId="77777777" w:rsidTr="00420E72">
        <w:tc>
          <w:tcPr>
            <w:tcW w:w="1696" w:type="dxa"/>
            <w:vMerge/>
          </w:tcPr>
          <w:p w14:paraId="3F9AD2C5" w14:textId="77777777" w:rsidR="009E52A3" w:rsidRDefault="009E52A3" w:rsidP="009E52A3">
            <w:pPr>
              <w:rPr>
                <w:rFonts w:ascii="Times New Roman" w:eastAsia="Times New Roman" w:hAnsi="Times New Roman" w:cs="Times New Roman"/>
                <w:sz w:val="24"/>
                <w:szCs w:val="24"/>
                <w:lang w:eastAsia="es-CO"/>
              </w:rPr>
            </w:pPr>
          </w:p>
        </w:tc>
        <w:tc>
          <w:tcPr>
            <w:tcW w:w="1985" w:type="dxa"/>
            <w:vAlign w:val="center"/>
          </w:tcPr>
          <w:p w14:paraId="31949CAB" w14:textId="301B5F46" w:rsidR="009E52A3" w:rsidRDefault="009E52A3" w:rsidP="009E52A3">
            <w:pPr>
              <w:rPr>
                <w:rFonts w:ascii="Times New Roman" w:eastAsia="Times New Roman" w:hAnsi="Times New Roman" w:cs="Times New Roman"/>
                <w:sz w:val="24"/>
                <w:szCs w:val="24"/>
                <w:lang w:eastAsia="es-CO"/>
              </w:rPr>
            </w:pPr>
            <w:r>
              <w:rPr>
                <w:rFonts w:cstheme="minorHAnsi"/>
                <w:b/>
                <w:sz w:val="20"/>
                <w:szCs w:val="20"/>
              </w:rPr>
              <w:t>Publicaciones (Artículos, proceso editorial y traducción)</w:t>
            </w:r>
          </w:p>
        </w:tc>
        <w:tc>
          <w:tcPr>
            <w:tcW w:w="6237" w:type="dxa"/>
            <w:vAlign w:val="center"/>
          </w:tcPr>
          <w:p w14:paraId="2D4B2271" w14:textId="2522DBC5" w:rsidR="009E52A3" w:rsidRDefault="009E52A3" w:rsidP="00420E72">
            <w:pPr>
              <w:jc w:val="both"/>
              <w:rPr>
                <w:rFonts w:ascii="Times New Roman" w:eastAsia="Times New Roman" w:hAnsi="Times New Roman" w:cs="Times New Roman"/>
                <w:sz w:val="24"/>
                <w:szCs w:val="24"/>
                <w:lang w:eastAsia="es-CO"/>
              </w:rPr>
            </w:pPr>
            <w:r>
              <w:rPr>
                <w:rFonts w:cstheme="minorHAnsi"/>
                <w:sz w:val="20"/>
                <w:szCs w:val="16"/>
              </w:rPr>
              <w:t>Se requiere el pago de las dos publicaciones comprometidas</w:t>
            </w:r>
          </w:p>
        </w:tc>
        <w:tc>
          <w:tcPr>
            <w:tcW w:w="1592" w:type="dxa"/>
            <w:vAlign w:val="center"/>
          </w:tcPr>
          <w:p w14:paraId="3675061E" w14:textId="4555D827"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$ 4.000.000</w:t>
            </w:r>
          </w:p>
        </w:tc>
        <w:tc>
          <w:tcPr>
            <w:tcW w:w="1668" w:type="dxa"/>
            <w:vAlign w:val="center"/>
          </w:tcPr>
          <w:p w14:paraId="42788829" w14:textId="095223DE"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$ 4.000.000</w:t>
            </w:r>
          </w:p>
        </w:tc>
        <w:tc>
          <w:tcPr>
            <w:tcW w:w="1518" w:type="dxa"/>
            <w:vAlign w:val="center"/>
          </w:tcPr>
          <w:p w14:paraId="250C6FE0" w14:textId="2F36AB01" w:rsidR="009E52A3" w:rsidRDefault="009E52A3" w:rsidP="009E52A3">
            <w:pPr>
              <w:jc w:val="center"/>
              <w:rPr>
                <w:rFonts w:ascii="Times New Roman" w:eastAsia="Times New Roman" w:hAnsi="Times New Roman" w:cs="Times New Roman"/>
                <w:sz w:val="24"/>
                <w:szCs w:val="24"/>
                <w:lang w:eastAsia="es-CO"/>
              </w:rPr>
            </w:pPr>
            <w:r>
              <w:rPr>
                <w:rFonts w:cstheme="minorHAnsi"/>
                <w:sz w:val="20"/>
                <w:szCs w:val="20"/>
              </w:rPr>
              <w:t>$ 8.000.000</w:t>
            </w:r>
          </w:p>
        </w:tc>
      </w:tr>
      <w:tr w:rsidR="009E52A3" w14:paraId="4A3A852C" w14:textId="77777777" w:rsidTr="00420E72">
        <w:tc>
          <w:tcPr>
            <w:tcW w:w="13178" w:type="dxa"/>
            <w:gridSpan w:val="5"/>
            <w:vAlign w:val="center"/>
          </w:tcPr>
          <w:p w14:paraId="56DEA89C" w14:textId="267A3490" w:rsidR="009E52A3" w:rsidRDefault="009E52A3" w:rsidP="009E52A3">
            <w:pPr>
              <w:jc w:val="right"/>
              <w:rPr>
                <w:rFonts w:cstheme="minorHAnsi"/>
                <w:sz w:val="20"/>
                <w:szCs w:val="20"/>
              </w:rPr>
            </w:pPr>
            <w:r w:rsidRPr="00ED1717">
              <w:rPr>
                <w:rFonts w:cstheme="minorHAnsi"/>
                <w:b/>
                <w:sz w:val="20"/>
                <w:szCs w:val="16"/>
              </w:rPr>
              <w:t>TOTAL DEL PROYECTO:</w:t>
            </w:r>
          </w:p>
        </w:tc>
        <w:tc>
          <w:tcPr>
            <w:tcW w:w="1518" w:type="dxa"/>
            <w:vAlign w:val="center"/>
          </w:tcPr>
          <w:p w14:paraId="36F759BD" w14:textId="393F5047" w:rsidR="009E52A3" w:rsidRDefault="009E52A3" w:rsidP="009E52A3">
            <w:pPr>
              <w:jc w:val="center"/>
              <w:rPr>
                <w:rFonts w:cstheme="minorHAnsi"/>
                <w:sz w:val="20"/>
                <w:szCs w:val="20"/>
              </w:rPr>
            </w:pPr>
            <w:r>
              <w:rPr>
                <w:rFonts w:cstheme="minorHAnsi"/>
                <w:sz w:val="20"/>
                <w:szCs w:val="20"/>
              </w:rPr>
              <w:t>$ 52.200.000</w:t>
            </w:r>
          </w:p>
        </w:tc>
      </w:tr>
    </w:tbl>
    <w:p w14:paraId="108E96FF" w14:textId="77777777" w:rsidR="009E52A3" w:rsidRDefault="009E52A3" w:rsidP="001D6087">
      <w:pPr>
        <w:spacing w:after="0" w:line="240" w:lineRule="auto"/>
        <w:rPr>
          <w:rFonts w:ascii="Times New Roman" w:eastAsia="Times New Roman" w:hAnsi="Times New Roman" w:cs="Times New Roman"/>
          <w:sz w:val="24"/>
          <w:szCs w:val="24"/>
          <w:lang w:eastAsia="es-CO"/>
        </w:rPr>
      </w:pPr>
    </w:p>
    <w:tbl>
      <w:tblPr>
        <w:tblStyle w:val="Tablaconcuadrcula"/>
        <w:tblW w:w="0" w:type="auto"/>
        <w:tblLook w:val="04A0" w:firstRow="1" w:lastRow="0" w:firstColumn="1" w:lastColumn="0" w:noHBand="0" w:noVBand="1"/>
      </w:tblPr>
      <w:tblGrid>
        <w:gridCol w:w="2449"/>
        <w:gridCol w:w="2449"/>
        <w:gridCol w:w="2449"/>
        <w:gridCol w:w="2449"/>
        <w:gridCol w:w="2450"/>
        <w:gridCol w:w="2450"/>
      </w:tblGrid>
      <w:tr w:rsidR="00420E72" w14:paraId="7D2E3073" w14:textId="77777777" w:rsidTr="00420E72">
        <w:tc>
          <w:tcPr>
            <w:tcW w:w="2449" w:type="dxa"/>
            <w:shd w:val="clear" w:color="auto" w:fill="F2F2F2" w:themeFill="background1" w:themeFillShade="F2"/>
          </w:tcPr>
          <w:p w14:paraId="0D1CF90B" w14:textId="77777777" w:rsidR="00420E72" w:rsidRDefault="00420E72" w:rsidP="001D6087">
            <w:pPr>
              <w:rPr>
                <w:rFonts w:ascii="Times New Roman" w:eastAsia="Times New Roman" w:hAnsi="Times New Roman" w:cs="Times New Roman"/>
                <w:sz w:val="24"/>
                <w:szCs w:val="24"/>
                <w:lang w:eastAsia="es-CO"/>
              </w:rPr>
            </w:pPr>
          </w:p>
        </w:tc>
        <w:tc>
          <w:tcPr>
            <w:tcW w:w="12247" w:type="dxa"/>
            <w:gridSpan w:val="5"/>
            <w:shd w:val="clear" w:color="auto" w:fill="F2F2F2" w:themeFill="background1" w:themeFillShade="F2"/>
          </w:tcPr>
          <w:p w14:paraId="43C87B47" w14:textId="7017C527" w:rsidR="00420E72" w:rsidRDefault="00420E72" w:rsidP="00420E72">
            <w:pPr>
              <w:jc w:val="center"/>
              <w:rPr>
                <w:rFonts w:ascii="Times New Roman" w:eastAsia="Times New Roman" w:hAnsi="Times New Roman" w:cs="Times New Roman"/>
                <w:sz w:val="24"/>
                <w:szCs w:val="24"/>
                <w:lang w:eastAsia="es-CO"/>
              </w:rPr>
            </w:pPr>
            <w:r>
              <w:rPr>
                <w:rFonts w:ascii="Arial" w:eastAsia="Times New Roman" w:hAnsi="Arial" w:cs="Arial"/>
                <w:b/>
                <w:bCs/>
                <w:color w:val="222222"/>
                <w:sz w:val="24"/>
                <w:szCs w:val="24"/>
                <w:lang w:eastAsia="es-CO"/>
              </w:rPr>
              <w:t>Presupuesto</w:t>
            </w:r>
          </w:p>
        </w:tc>
      </w:tr>
      <w:tr w:rsidR="00420E72" w14:paraId="64A66232" w14:textId="77777777" w:rsidTr="00420E72">
        <w:tc>
          <w:tcPr>
            <w:tcW w:w="2449" w:type="dxa"/>
            <w:shd w:val="clear" w:color="auto" w:fill="F2F2F2" w:themeFill="background1" w:themeFillShade="F2"/>
          </w:tcPr>
          <w:p w14:paraId="7005ADED" w14:textId="77777777" w:rsidR="00420E72" w:rsidRDefault="00420E72" w:rsidP="001D6087">
            <w:pPr>
              <w:rPr>
                <w:rFonts w:ascii="Times New Roman" w:eastAsia="Times New Roman" w:hAnsi="Times New Roman" w:cs="Times New Roman"/>
                <w:sz w:val="24"/>
                <w:szCs w:val="24"/>
                <w:lang w:eastAsia="es-CO"/>
              </w:rPr>
            </w:pPr>
          </w:p>
        </w:tc>
        <w:tc>
          <w:tcPr>
            <w:tcW w:w="12247" w:type="dxa"/>
            <w:gridSpan w:val="5"/>
            <w:shd w:val="clear" w:color="auto" w:fill="F2F2F2" w:themeFill="background1" w:themeFillShade="F2"/>
          </w:tcPr>
          <w:p w14:paraId="40D27384" w14:textId="2472803E" w:rsidR="00420E72" w:rsidRDefault="00420E72" w:rsidP="00420E72">
            <w:pPr>
              <w:jc w:val="center"/>
              <w:rPr>
                <w:rFonts w:ascii="Times New Roman" w:eastAsia="Times New Roman" w:hAnsi="Times New Roman" w:cs="Times New Roman"/>
                <w:sz w:val="24"/>
                <w:szCs w:val="24"/>
                <w:lang w:eastAsia="es-CO"/>
              </w:rPr>
            </w:pPr>
            <w:r>
              <w:rPr>
                <w:rFonts w:ascii="Arial" w:eastAsia="Times New Roman" w:hAnsi="Arial" w:cs="Arial"/>
                <w:b/>
                <w:bCs/>
                <w:color w:val="222222"/>
                <w:sz w:val="24"/>
                <w:szCs w:val="24"/>
                <w:lang w:eastAsia="es-CO"/>
              </w:rPr>
              <w:t>Horas nómina</w:t>
            </w:r>
          </w:p>
        </w:tc>
      </w:tr>
      <w:tr w:rsidR="00420E72" w14:paraId="110FB992" w14:textId="77777777" w:rsidTr="00420E72">
        <w:tc>
          <w:tcPr>
            <w:tcW w:w="2449" w:type="dxa"/>
            <w:shd w:val="clear" w:color="auto" w:fill="F2F2F2" w:themeFill="background1" w:themeFillShade="F2"/>
            <w:vAlign w:val="center"/>
          </w:tcPr>
          <w:p w14:paraId="5E1210CC" w14:textId="6F12802A" w:rsidR="00420E72" w:rsidRPr="00420E72" w:rsidRDefault="00420E72" w:rsidP="00420E72">
            <w:pPr>
              <w:spacing w:before="100" w:beforeAutospacing="1" w:after="100" w:afterAutospacing="1"/>
              <w:jc w:val="center"/>
              <w:rPr>
                <w:rFonts w:ascii="Arial" w:eastAsia="Times New Roman" w:hAnsi="Arial" w:cs="Arial"/>
                <w:b/>
                <w:bCs/>
                <w:color w:val="222222"/>
                <w:sz w:val="24"/>
                <w:szCs w:val="24"/>
                <w:lang w:eastAsia="es-CO"/>
              </w:rPr>
            </w:pPr>
            <w:r w:rsidRPr="00420E72">
              <w:rPr>
                <w:rFonts w:ascii="Arial" w:eastAsia="Times New Roman" w:hAnsi="Arial" w:cs="Arial"/>
                <w:b/>
                <w:bCs/>
                <w:color w:val="222222"/>
                <w:sz w:val="24"/>
                <w:szCs w:val="24"/>
                <w:lang w:eastAsia="es-CO"/>
              </w:rPr>
              <w:t>Concepto</w:t>
            </w:r>
          </w:p>
        </w:tc>
        <w:tc>
          <w:tcPr>
            <w:tcW w:w="2449" w:type="dxa"/>
            <w:shd w:val="clear" w:color="auto" w:fill="F2F2F2" w:themeFill="background1" w:themeFillShade="F2"/>
            <w:vAlign w:val="center"/>
          </w:tcPr>
          <w:p w14:paraId="761B4CE1" w14:textId="33CBC82A" w:rsidR="00420E72" w:rsidRPr="00420E72" w:rsidRDefault="00420E72" w:rsidP="00420E72">
            <w:pPr>
              <w:spacing w:before="100" w:beforeAutospacing="1" w:after="100" w:afterAutospacing="1"/>
              <w:jc w:val="center"/>
              <w:rPr>
                <w:rFonts w:ascii="Arial" w:eastAsia="Times New Roman" w:hAnsi="Arial" w:cs="Arial"/>
                <w:b/>
                <w:bCs/>
                <w:color w:val="222222"/>
                <w:sz w:val="24"/>
                <w:szCs w:val="24"/>
                <w:lang w:eastAsia="es-CO"/>
              </w:rPr>
            </w:pPr>
            <w:r w:rsidRPr="00420E72">
              <w:rPr>
                <w:rFonts w:ascii="Arial" w:eastAsia="Times New Roman" w:hAnsi="Arial" w:cs="Arial"/>
                <w:b/>
                <w:bCs/>
                <w:color w:val="222222"/>
                <w:sz w:val="24"/>
                <w:szCs w:val="24"/>
                <w:lang w:eastAsia="es-CO"/>
              </w:rPr>
              <w:t>Nombre</w:t>
            </w:r>
          </w:p>
        </w:tc>
        <w:tc>
          <w:tcPr>
            <w:tcW w:w="2449" w:type="dxa"/>
            <w:shd w:val="clear" w:color="auto" w:fill="F2F2F2" w:themeFill="background1" w:themeFillShade="F2"/>
            <w:vAlign w:val="center"/>
          </w:tcPr>
          <w:p w14:paraId="10614DBA" w14:textId="2BCAC54E" w:rsidR="00420E72" w:rsidRPr="00420E72" w:rsidRDefault="00420E72" w:rsidP="00420E72">
            <w:pPr>
              <w:spacing w:before="100" w:beforeAutospacing="1" w:after="100" w:afterAutospacing="1"/>
              <w:jc w:val="center"/>
              <w:rPr>
                <w:rFonts w:ascii="Arial" w:eastAsia="Times New Roman" w:hAnsi="Arial" w:cs="Arial"/>
                <w:b/>
                <w:bCs/>
                <w:color w:val="222222"/>
                <w:sz w:val="24"/>
                <w:szCs w:val="24"/>
                <w:lang w:eastAsia="es-CO"/>
              </w:rPr>
            </w:pPr>
            <w:r w:rsidRPr="00420E72">
              <w:rPr>
                <w:rFonts w:ascii="Arial" w:eastAsia="Times New Roman" w:hAnsi="Arial" w:cs="Arial"/>
                <w:b/>
                <w:bCs/>
                <w:color w:val="222222"/>
                <w:sz w:val="24"/>
                <w:szCs w:val="24"/>
                <w:lang w:eastAsia="es-CO"/>
              </w:rPr>
              <w:t>Escalafón</w:t>
            </w:r>
          </w:p>
        </w:tc>
        <w:tc>
          <w:tcPr>
            <w:tcW w:w="2449" w:type="dxa"/>
            <w:shd w:val="clear" w:color="auto" w:fill="F2F2F2" w:themeFill="background1" w:themeFillShade="F2"/>
            <w:vAlign w:val="center"/>
          </w:tcPr>
          <w:p w14:paraId="7FEF80F4" w14:textId="1D001735" w:rsidR="00420E72" w:rsidRPr="00420E72" w:rsidRDefault="00420E72" w:rsidP="00420E72">
            <w:pPr>
              <w:spacing w:before="100" w:beforeAutospacing="1" w:after="100" w:afterAutospacing="1"/>
              <w:jc w:val="center"/>
              <w:rPr>
                <w:rFonts w:ascii="Arial" w:eastAsia="Times New Roman" w:hAnsi="Arial" w:cs="Arial"/>
                <w:b/>
                <w:bCs/>
                <w:color w:val="222222"/>
                <w:sz w:val="24"/>
                <w:szCs w:val="24"/>
                <w:lang w:eastAsia="es-CO"/>
              </w:rPr>
            </w:pPr>
            <w:r w:rsidRPr="00420E72">
              <w:rPr>
                <w:rFonts w:ascii="Arial" w:eastAsia="Times New Roman" w:hAnsi="Arial" w:cs="Arial"/>
                <w:b/>
                <w:bCs/>
                <w:color w:val="222222"/>
                <w:sz w:val="24"/>
                <w:szCs w:val="24"/>
                <w:lang w:eastAsia="es-CO"/>
              </w:rPr>
              <w:t>Horas mes</w:t>
            </w:r>
          </w:p>
        </w:tc>
        <w:tc>
          <w:tcPr>
            <w:tcW w:w="2450" w:type="dxa"/>
            <w:shd w:val="clear" w:color="auto" w:fill="F2F2F2" w:themeFill="background1" w:themeFillShade="F2"/>
          </w:tcPr>
          <w:p w14:paraId="22330D2C" w14:textId="278705E0" w:rsidR="00420E72" w:rsidRPr="00420E72" w:rsidRDefault="00420E72" w:rsidP="00420E72">
            <w:pPr>
              <w:spacing w:before="100" w:beforeAutospacing="1" w:after="100" w:afterAutospacing="1"/>
              <w:jc w:val="center"/>
              <w:rPr>
                <w:rFonts w:ascii="Arial" w:eastAsia="Times New Roman" w:hAnsi="Arial" w:cs="Arial"/>
                <w:b/>
                <w:bCs/>
                <w:color w:val="222222"/>
                <w:sz w:val="24"/>
                <w:szCs w:val="24"/>
                <w:lang w:eastAsia="es-CO"/>
              </w:rPr>
            </w:pPr>
            <w:r w:rsidRPr="00420E72">
              <w:rPr>
                <w:rFonts w:ascii="Arial" w:eastAsia="Times New Roman" w:hAnsi="Arial" w:cs="Arial"/>
                <w:b/>
                <w:bCs/>
                <w:color w:val="222222"/>
                <w:sz w:val="24"/>
                <w:szCs w:val="24"/>
                <w:lang w:eastAsia="es-CO"/>
              </w:rPr>
              <w:t>Sede / Seccional o Externo</w:t>
            </w:r>
          </w:p>
        </w:tc>
        <w:tc>
          <w:tcPr>
            <w:tcW w:w="2450" w:type="dxa"/>
            <w:shd w:val="clear" w:color="auto" w:fill="F2F2F2" w:themeFill="background1" w:themeFillShade="F2"/>
            <w:vAlign w:val="center"/>
          </w:tcPr>
          <w:p w14:paraId="1B8D26A1" w14:textId="01F93001" w:rsidR="00420E72" w:rsidRPr="00420E72" w:rsidRDefault="00420E72" w:rsidP="00420E72">
            <w:pPr>
              <w:spacing w:before="100" w:beforeAutospacing="1" w:after="100" w:afterAutospacing="1"/>
              <w:jc w:val="center"/>
              <w:rPr>
                <w:rFonts w:ascii="Arial" w:eastAsia="Times New Roman" w:hAnsi="Arial" w:cs="Arial"/>
                <w:b/>
                <w:bCs/>
                <w:color w:val="222222"/>
                <w:sz w:val="24"/>
                <w:szCs w:val="24"/>
                <w:lang w:eastAsia="es-CO"/>
              </w:rPr>
            </w:pPr>
            <w:r w:rsidRPr="00420E72">
              <w:rPr>
                <w:rFonts w:ascii="Arial" w:eastAsia="Times New Roman" w:hAnsi="Arial" w:cs="Arial"/>
                <w:b/>
                <w:bCs/>
                <w:color w:val="222222"/>
                <w:sz w:val="24"/>
                <w:szCs w:val="24"/>
                <w:lang w:eastAsia="es-CO"/>
              </w:rPr>
              <w:t>Total ($)</w:t>
            </w:r>
          </w:p>
        </w:tc>
      </w:tr>
      <w:tr w:rsidR="00420E72" w14:paraId="79FD7671" w14:textId="77777777" w:rsidTr="00420E72">
        <w:tc>
          <w:tcPr>
            <w:tcW w:w="2449" w:type="dxa"/>
            <w:vAlign w:val="center"/>
          </w:tcPr>
          <w:p w14:paraId="234EC9AB" w14:textId="1971EFC1"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Horas Nomina (Investigador Principal)</w:t>
            </w:r>
          </w:p>
        </w:tc>
        <w:tc>
          <w:tcPr>
            <w:tcW w:w="2449" w:type="dxa"/>
            <w:vAlign w:val="center"/>
          </w:tcPr>
          <w:p w14:paraId="209B5E5E" w14:textId="346F0C13"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Dionisio Humberto Malagón Romero</w:t>
            </w:r>
          </w:p>
        </w:tc>
        <w:tc>
          <w:tcPr>
            <w:tcW w:w="2449" w:type="dxa"/>
            <w:vAlign w:val="center"/>
          </w:tcPr>
          <w:p w14:paraId="03800D4D" w14:textId="232F0527"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5</w:t>
            </w:r>
          </w:p>
        </w:tc>
        <w:tc>
          <w:tcPr>
            <w:tcW w:w="2449" w:type="dxa"/>
            <w:vAlign w:val="center"/>
          </w:tcPr>
          <w:p w14:paraId="628AEB95" w14:textId="5DE5713F"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30</w:t>
            </w:r>
          </w:p>
        </w:tc>
        <w:tc>
          <w:tcPr>
            <w:tcW w:w="2450" w:type="dxa"/>
            <w:vAlign w:val="center"/>
          </w:tcPr>
          <w:p w14:paraId="067C9E35" w14:textId="4636740C"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Principal</w:t>
            </w:r>
          </w:p>
        </w:tc>
        <w:tc>
          <w:tcPr>
            <w:tcW w:w="2450" w:type="dxa"/>
            <w:vAlign w:val="center"/>
          </w:tcPr>
          <w:p w14:paraId="75CDFA05" w14:textId="320EDB5C"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$ 12.789.600</w:t>
            </w:r>
          </w:p>
        </w:tc>
      </w:tr>
      <w:tr w:rsidR="00420E72" w14:paraId="483F2240" w14:textId="77777777" w:rsidTr="00420E72">
        <w:tc>
          <w:tcPr>
            <w:tcW w:w="2449" w:type="dxa"/>
            <w:vMerge w:val="restart"/>
            <w:vAlign w:val="center"/>
          </w:tcPr>
          <w:p w14:paraId="0BB5CB29" w14:textId="010DA36A"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Horas Nomina (Co-Investigadores)</w:t>
            </w:r>
          </w:p>
        </w:tc>
        <w:tc>
          <w:tcPr>
            <w:tcW w:w="2449" w:type="dxa"/>
            <w:vAlign w:val="center"/>
          </w:tcPr>
          <w:p w14:paraId="583F8BFB" w14:textId="7F021A94"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Ricardo Alberto Forero Rubiano</w:t>
            </w:r>
          </w:p>
        </w:tc>
        <w:tc>
          <w:tcPr>
            <w:tcW w:w="2449" w:type="dxa"/>
            <w:vAlign w:val="center"/>
          </w:tcPr>
          <w:p w14:paraId="18E9FCD8" w14:textId="0EC2AEE2"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2</w:t>
            </w:r>
          </w:p>
        </w:tc>
        <w:tc>
          <w:tcPr>
            <w:tcW w:w="2449" w:type="dxa"/>
            <w:vAlign w:val="center"/>
          </w:tcPr>
          <w:p w14:paraId="6395AA15" w14:textId="5DBBC52E"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20</w:t>
            </w:r>
          </w:p>
        </w:tc>
        <w:tc>
          <w:tcPr>
            <w:tcW w:w="2450" w:type="dxa"/>
            <w:vAlign w:val="center"/>
          </w:tcPr>
          <w:p w14:paraId="7FAAC9A2" w14:textId="07884E94"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Principal</w:t>
            </w:r>
          </w:p>
        </w:tc>
        <w:tc>
          <w:tcPr>
            <w:tcW w:w="2450" w:type="dxa"/>
            <w:vAlign w:val="center"/>
          </w:tcPr>
          <w:p w14:paraId="56063C2B" w14:textId="133B4794"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$ 6.918.800</w:t>
            </w:r>
          </w:p>
        </w:tc>
      </w:tr>
      <w:tr w:rsidR="00420E72" w14:paraId="193188C2" w14:textId="77777777" w:rsidTr="00420E72">
        <w:tc>
          <w:tcPr>
            <w:tcW w:w="2449" w:type="dxa"/>
            <w:vMerge/>
            <w:vAlign w:val="center"/>
          </w:tcPr>
          <w:p w14:paraId="3911C8EB" w14:textId="77777777" w:rsidR="00420E72" w:rsidRDefault="00420E72" w:rsidP="00420E72">
            <w:pPr>
              <w:jc w:val="center"/>
              <w:rPr>
                <w:rFonts w:ascii="Times New Roman" w:eastAsia="Times New Roman" w:hAnsi="Times New Roman" w:cs="Times New Roman"/>
                <w:sz w:val="24"/>
                <w:szCs w:val="24"/>
                <w:lang w:eastAsia="es-CO"/>
              </w:rPr>
            </w:pPr>
          </w:p>
        </w:tc>
        <w:tc>
          <w:tcPr>
            <w:tcW w:w="2449" w:type="dxa"/>
            <w:vAlign w:val="center"/>
          </w:tcPr>
          <w:p w14:paraId="7A55A6C6" w14:textId="6435BB00"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Gloria Astrid Nausa</w:t>
            </w:r>
          </w:p>
        </w:tc>
        <w:tc>
          <w:tcPr>
            <w:tcW w:w="2449" w:type="dxa"/>
            <w:vAlign w:val="center"/>
          </w:tcPr>
          <w:p w14:paraId="42EBFE1A" w14:textId="7C53DEB7"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Profesor Asistente</w:t>
            </w:r>
          </w:p>
        </w:tc>
        <w:tc>
          <w:tcPr>
            <w:tcW w:w="2449" w:type="dxa"/>
            <w:vAlign w:val="center"/>
          </w:tcPr>
          <w:p w14:paraId="7280152B" w14:textId="38940C04"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40</w:t>
            </w:r>
          </w:p>
        </w:tc>
        <w:tc>
          <w:tcPr>
            <w:tcW w:w="2450" w:type="dxa"/>
            <w:vAlign w:val="center"/>
          </w:tcPr>
          <w:p w14:paraId="36B8F7C6" w14:textId="229DC0E8"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Externo (U. ECCI)</w:t>
            </w:r>
          </w:p>
        </w:tc>
        <w:tc>
          <w:tcPr>
            <w:tcW w:w="2450" w:type="dxa"/>
            <w:vAlign w:val="center"/>
          </w:tcPr>
          <w:p w14:paraId="71064928" w14:textId="18FE5AC0" w:rsidR="00420E72" w:rsidRDefault="00420E72" w:rsidP="00420E72">
            <w:pPr>
              <w:jc w:val="center"/>
              <w:rPr>
                <w:rFonts w:ascii="Times New Roman" w:eastAsia="Times New Roman" w:hAnsi="Times New Roman" w:cs="Times New Roman"/>
                <w:sz w:val="24"/>
                <w:szCs w:val="24"/>
                <w:lang w:eastAsia="es-CO"/>
              </w:rPr>
            </w:pPr>
            <w:r w:rsidRPr="00AD40BF">
              <w:rPr>
                <w:rFonts w:ascii="Helvetica" w:eastAsia="Times New Roman" w:hAnsi="Helvetica" w:cs="Helvetica"/>
                <w:color w:val="222222"/>
                <w:sz w:val="20"/>
                <w:szCs w:val="20"/>
                <w:lang w:eastAsia="es-CO"/>
              </w:rPr>
              <w:t>$ 25.952.480</w:t>
            </w:r>
          </w:p>
        </w:tc>
      </w:tr>
    </w:tbl>
    <w:p w14:paraId="49436CC2" w14:textId="77777777" w:rsidR="009E52A3" w:rsidRDefault="009E52A3" w:rsidP="001D6087">
      <w:pPr>
        <w:spacing w:after="0" w:line="240" w:lineRule="auto"/>
        <w:rPr>
          <w:rFonts w:ascii="Times New Roman" w:eastAsia="Times New Roman" w:hAnsi="Times New Roman" w:cs="Times New Roman"/>
          <w:sz w:val="24"/>
          <w:szCs w:val="24"/>
          <w:lang w:eastAsia="es-CO"/>
        </w:rPr>
      </w:pPr>
    </w:p>
    <w:p w14:paraId="3AB02A30" w14:textId="77777777" w:rsidR="009E52A3" w:rsidRDefault="009E52A3" w:rsidP="001D6087">
      <w:pPr>
        <w:spacing w:after="0" w:line="240" w:lineRule="auto"/>
        <w:rPr>
          <w:rFonts w:ascii="Times New Roman" w:eastAsia="Times New Roman" w:hAnsi="Times New Roman" w:cs="Times New Roman"/>
          <w:sz w:val="24"/>
          <w:szCs w:val="24"/>
          <w:lang w:eastAsia="es-CO"/>
        </w:rPr>
      </w:pPr>
    </w:p>
    <w:p w14:paraId="134F59DE" w14:textId="77777777" w:rsidR="009E52A3" w:rsidRDefault="009E52A3" w:rsidP="001D6087">
      <w:pPr>
        <w:spacing w:after="0" w:line="240" w:lineRule="auto"/>
        <w:rPr>
          <w:rFonts w:ascii="Times New Roman" w:eastAsia="Times New Roman" w:hAnsi="Times New Roman" w:cs="Times New Roman"/>
          <w:sz w:val="24"/>
          <w:szCs w:val="24"/>
          <w:lang w:eastAsia="es-CO"/>
        </w:rPr>
      </w:pPr>
    </w:p>
    <w:p w14:paraId="1F530638" w14:textId="77777777" w:rsidR="009E52A3" w:rsidRDefault="009E52A3" w:rsidP="001D6087">
      <w:pPr>
        <w:spacing w:after="0" w:line="240" w:lineRule="auto"/>
        <w:rPr>
          <w:rFonts w:ascii="Times New Roman" w:eastAsia="Times New Roman" w:hAnsi="Times New Roman" w:cs="Times New Roman"/>
          <w:sz w:val="24"/>
          <w:szCs w:val="24"/>
          <w:lang w:eastAsia="es-CO"/>
        </w:rPr>
      </w:pPr>
    </w:p>
    <w:p w14:paraId="6CCD69B2" w14:textId="77777777" w:rsidR="002F299A" w:rsidRDefault="002F299A"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698BC92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A6616F6" w14:textId="77777777"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14:paraId="396320C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1C27A24" w14:textId="4224AD08" w:rsidR="00B02898" w:rsidRPr="00B02898" w:rsidRDefault="000B47BE" w:rsidP="00B02898">
            <w:pPr>
              <w:widowControl w:val="0"/>
              <w:autoSpaceDE w:val="0"/>
              <w:autoSpaceDN w:val="0"/>
              <w:adjustRightInd w:val="0"/>
              <w:spacing w:line="240" w:lineRule="auto"/>
              <w:ind w:left="640" w:hanging="640"/>
              <w:rPr>
                <w:rFonts w:ascii="Arial" w:hAnsi="Arial" w:cs="Arial"/>
                <w:noProof/>
                <w:sz w:val="24"/>
                <w:szCs w:val="24"/>
              </w:rPr>
            </w:pPr>
            <w:r>
              <w:rPr>
                <w:rFonts w:ascii="Arial" w:eastAsia="Times New Roman" w:hAnsi="Arial" w:cs="Arial"/>
                <w:b/>
                <w:bCs/>
                <w:color w:val="222222"/>
                <w:sz w:val="24"/>
                <w:szCs w:val="24"/>
                <w:lang w:eastAsia="es-CO"/>
              </w:rPr>
              <w:fldChar w:fldCharType="begin" w:fldLock="1"/>
            </w:r>
            <w:r w:rsidRPr="00AA3A4F">
              <w:rPr>
                <w:rFonts w:ascii="Arial" w:eastAsia="Times New Roman" w:hAnsi="Arial" w:cs="Arial"/>
                <w:b/>
                <w:bCs/>
                <w:color w:val="222222"/>
                <w:sz w:val="24"/>
                <w:szCs w:val="24"/>
                <w:lang w:val="en-US" w:eastAsia="es-CO"/>
              </w:rPr>
              <w:instrText xml:space="preserve">ADDIN Mendeley Bibliography CSL_BIBLIOGRAPHY </w:instrText>
            </w:r>
            <w:r>
              <w:rPr>
                <w:rFonts w:ascii="Arial" w:eastAsia="Times New Roman" w:hAnsi="Arial" w:cs="Arial"/>
                <w:b/>
                <w:bCs/>
                <w:color w:val="222222"/>
                <w:sz w:val="24"/>
                <w:szCs w:val="24"/>
                <w:lang w:eastAsia="es-CO"/>
              </w:rPr>
              <w:fldChar w:fldCharType="separate"/>
            </w:r>
            <w:r w:rsidR="00B02898" w:rsidRPr="00B02898">
              <w:rPr>
                <w:rFonts w:ascii="Arial" w:hAnsi="Arial" w:cs="Arial"/>
                <w:noProof/>
                <w:sz w:val="24"/>
                <w:szCs w:val="24"/>
              </w:rPr>
              <w:t>1.</w:t>
            </w:r>
            <w:r w:rsidR="00B02898" w:rsidRPr="00B02898">
              <w:rPr>
                <w:rFonts w:ascii="Arial" w:hAnsi="Arial" w:cs="Arial"/>
                <w:noProof/>
                <w:sz w:val="24"/>
                <w:szCs w:val="24"/>
              </w:rPr>
              <w:tab/>
              <w:t xml:space="preserve">Basso, L. A. </w:t>
            </w:r>
            <w:r w:rsidR="00B02898" w:rsidRPr="00B02898">
              <w:rPr>
                <w:rFonts w:ascii="Arial" w:hAnsi="Arial" w:cs="Arial"/>
                <w:i/>
                <w:iCs/>
                <w:noProof/>
                <w:sz w:val="24"/>
                <w:szCs w:val="24"/>
              </w:rPr>
              <w:t>et al.</w:t>
            </w:r>
            <w:r w:rsidR="00B02898" w:rsidRPr="00B02898">
              <w:rPr>
                <w:rFonts w:ascii="Arial" w:hAnsi="Arial" w:cs="Arial"/>
                <w:noProof/>
                <w:sz w:val="24"/>
                <w:szCs w:val="24"/>
              </w:rPr>
              <w:t xml:space="preserve"> The use of biodiversity as source of new chemical entities against defined molecular targets for treatment of malaria, tuberculosis, and T-cell mediated diseases - A Review. </w:t>
            </w:r>
            <w:r w:rsidR="00B02898" w:rsidRPr="00B02898">
              <w:rPr>
                <w:rFonts w:ascii="Arial" w:hAnsi="Arial" w:cs="Arial"/>
                <w:i/>
                <w:iCs/>
                <w:noProof/>
                <w:sz w:val="24"/>
                <w:szCs w:val="24"/>
              </w:rPr>
              <w:t>Mem. Inst. Oswaldo Cruz</w:t>
            </w:r>
            <w:r w:rsidR="00B02898" w:rsidRPr="00B02898">
              <w:rPr>
                <w:rFonts w:ascii="Arial" w:hAnsi="Arial" w:cs="Arial"/>
                <w:noProof/>
                <w:sz w:val="24"/>
                <w:szCs w:val="24"/>
              </w:rPr>
              <w:t xml:space="preserve"> </w:t>
            </w:r>
            <w:r w:rsidR="00B02898" w:rsidRPr="00B02898">
              <w:rPr>
                <w:rFonts w:ascii="Arial" w:hAnsi="Arial" w:cs="Arial"/>
                <w:b/>
                <w:bCs/>
                <w:noProof/>
                <w:sz w:val="24"/>
                <w:szCs w:val="24"/>
              </w:rPr>
              <w:t>100</w:t>
            </w:r>
            <w:r w:rsidR="00B02898" w:rsidRPr="00B02898">
              <w:rPr>
                <w:rFonts w:ascii="Arial" w:hAnsi="Arial" w:cs="Arial"/>
                <w:noProof/>
                <w:sz w:val="24"/>
                <w:szCs w:val="24"/>
              </w:rPr>
              <w:t>, 475–506 (2005).</w:t>
            </w:r>
          </w:p>
          <w:p w14:paraId="1CD4792B"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w:t>
            </w:r>
            <w:r w:rsidRPr="00B02898">
              <w:rPr>
                <w:rFonts w:ascii="Arial" w:hAnsi="Arial" w:cs="Arial"/>
                <w:noProof/>
                <w:sz w:val="24"/>
                <w:szCs w:val="24"/>
              </w:rPr>
              <w:tab/>
              <w:t>Berkem. Plant extraction - Berkem - Extraction végétale. Available at: http://www.berkem.com/en/expertise-en/plant-extraction. (Accessed: 29th July 2019)</w:t>
            </w:r>
          </w:p>
          <w:p w14:paraId="1E39220B"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w:t>
            </w:r>
            <w:r w:rsidRPr="00B02898">
              <w:rPr>
                <w:rFonts w:ascii="Arial" w:hAnsi="Arial" w:cs="Arial"/>
                <w:noProof/>
                <w:sz w:val="24"/>
                <w:szCs w:val="24"/>
              </w:rPr>
              <w:tab/>
              <w:t xml:space="preserve">S. Sasidharan, Y. Chen, D. Saravanan, K.M. Sundram, L. Y. L. EXTRACTION, ISOLATION AND CHARACTERIZATION OF BIOACTIVE COMPOUNDS FROM PLANTS’ EXTRACTS. </w:t>
            </w:r>
            <w:r w:rsidRPr="00B02898">
              <w:rPr>
                <w:rFonts w:ascii="Arial" w:hAnsi="Arial" w:cs="Arial"/>
                <w:i/>
                <w:iCs/>
                <w:noProof/>
                <w:sz w:val="24"/>
                <w:szCs w:val="24"/>
              </w:rPr>
              <w:t>Afr J Tradit Complement Altern Med</w:t>
            </w:r>
            <w:r w:rsidRPr="00B02898">
              <w:rPr>
                <w:rFonts w:ascii="Arial" w:hAnsi="Arial" w:cs="Arial"/>
                <w:noProof/>
                <w:sz w:val="24"/>
                <w:szCs w:val="24"/>
              </w:rPr>
              <w:t xml:space="preserve"> </w:t>
            </w:r>
            <w:r w:rsidRPr="00B02898">
              <w:rPr>
                <w:rFonts w:ascii="Arial" w:hAnsi="Arial" w:cs="Arial"/>
                <w:b/>
                <w:bCs/>
                <w:noProof/>
                <w:sz w:val="24"/>
                <w:szCs w:val="24"/>
              </w:rPr>
              <w:t>8</w:t>
            </w:r>
            <w:r w:rsidRPr="00B02898">
              <w:rPr>
                <w:rFonts w:ascii="Arial" w:hAnsi="Arial" w:cs="Arial"/>
                <w:noProof/>
                <w:sz w:val="24"/>
                <w:szCs w:val="24"/>
              </w:rPr>
              <w:t>, 93–130 (2011).</w:t>
            </w:r>
          </w:p>
          <w:p w14:paraId="10DBCC0D"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4.</w:t>
            </w:r>
            <w:r w:rsidRPr="00B02898">
              <w:rPr>
                <w:rFonts w:ascii="Arial" w:hAnsi="Arial" w:cs="Arial"/>
                <w:noProof/>
                <w:sz w:val="24"/>
                <w:szCs w:val="24"/>
              </w:rPr>
              <w:tab/>
              <w:t xml:space="preserve">Gogate, P. R. &amp; Pandit, A. B. A review and assessment of hydrodynamic cavitation as a technology for the future. </w:t>
            </w:r>
            <w:r w:rsidRPr="00B02898">
              <w:rPr>
                <w:rFonts w:ascii="Arial" w:hAnsi="Arial" w:cs="Arial"/>
                <w:i/>
                <w:iCs/>
                <w:noProof/>
                <w:sz w:val="24"/>
                <w:szCs w:val="24"/>
              </w:rPr>
              <w:t>Ultrason. Sonochem.</w:t>
            </w:r>
            <w:r w:rsidRPr="00B02898">
              <w:rPr>
                <w:rFonts w:ascii="Arial" w:hAnsi="Arial" w:cs="Arial"/>
                <w:noProof/>
                <w:sz w:val="24"/>
                <w:szCs w:val="24"/>
              </w:rPr>
              <w:t xml:space="preserve"> </w:t>
            </w:r>
            <w:r w:rsidRPr="00B02898">
              <w:rPr>
                <w:rFonts w:ascii="Arial" w:hAnsi="Arial" w:cs="Arial"/>
                <w:b/>
                <w:bCs/>
                <w:noProof/>
                <w:sz w:val="24"/>
                <w:szCs w:val="24"/>
              </w:rPr>
              <w:t>12</w:t>
            </w:r>
            <w:r w:rsidRPr="00B02898">
              <w:rPr>
                <w:rFonts w:ascii="Arial" w:hAnsi="Arial" w:cs="Arial"/>
                <w:noProof/>
                <w:sz w:val="24"/>
                <w:szCs w:val="24"/>
              </w:rPr>
              <w:t>, 21–27 (2005).</w:t>
            </w:r>
          </w:p>
          <w:p w14:paraId="5B2FD035"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5.</w:t>
            </w:r>
            <w:r w:rsidRPr="00B02898">
              <w:rPr>
                <w:rFonts w:ascii="Arial" w:hAnsi="Arial" w:cs="Arial"/>
                <w:noProof/>
                <w:sz w:val="24"/>
                <w:szCs w:val="24"/>
              </w:rPr>
              <w:tab/>
              <w:t xml:space="preserve">Sampath Kumar, K. &amp; Moholkar, V. S. Conceptual design of a novel hydrodynamic cavitation reactor. </w:t>
            </w:r>
            <w:r w:rsidRPr="00B02898">
              <w:rPr>
                <w:rFonts w:ascii="Arial" w:hAnsi="Arial" w:cs="Arial"/>
                <w:i/>
                <w:iCs/>
                <w:noProof/>
                <w:sz w:val="24"/>
                <w:szCs w:val="24"/>
              </w:rPr>
              <w:t>Chem. Eng. Sci.</w:t>
            </w:r>
            <w:r w:rsidRPr="00B02898">
              <w:rPr>
                <w:rFonts w:ascii="Arial" w:hAnsi="Arial" w:cs="Arial"/>
                <w:noProof/>
                <w:sz w:val="24"/>
                <w:szCs w:val="24"/>
              </w:rPr>
              <w:t xml:space="preserve"> </w:t>
            </w:r>
            <w:r w:rsidRPr="00B02898">
              <w:rPr>
                <w:rFonts w:ascii="Arial" w:hAnsi="Arial" w:cs="Arial"/>
                <w:b/>
                <w:bCs/>
                <w:noProof/>
                <w:sz w:val="24"/>
                <w:szCs w:val="24"/>
              </w:rPr>
              <w:t>62</w:t>
            </w:r>
            <w:r w:rsidRPr="00B02898">
              <w:rPr>
                <w:rFonts w:ascii="Arial" w:hAnsi="Arial" w:cs="Arial"/>
                <w:noProof/>
                <w:sz w:val="24"/>
                <w:szCs w:val="24"/>
              </w:rPr>
              <w:t>, 2698–2711 (2007).</w:t>
            </w:r>
          </w:p>
          <w:p w14:paraId="54537804"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6.</w:t>
            </w:r>
            <w:r w:rsidRPr="00B02898">
              <w:rPr>
                <w:rFonts w:ascii="Arial" w:hAnsi="Arial" w:cs="Arial"/>
                <w:noProof/>
                <w:sz w:val="24"/>
                <w:szCs w:val="24"/>
              </w:rPr>
              <w:tab/>
              <w:t xml:space="preserve">Vitenko, T., Droździel, P. &amp; Rudawska, A. Using Hydrodynamic Cavitation Device in the Industry. </w:t>
            </w:r>
            <w:r w:rsidRPr="00B02898">
              <w:rPr>
                <w:rFonts w:ascii="Arial" w:hAnsi="Arial" w:cs="Arial"/>
                <w:i/>
                <w:iCs/>
                <w:noProof/>
                <w:sz w:val="24"/>
                <w:szCs w:val="24"/>
              </w:rPr>
              <w:t>Adv. Sci. Technol. Res. J.</w:t>
            </w:r>
            <w:r w:rsidRPr="00B02898">
              <w:rPr>
                <w:rFonts w:ascii="Arial" w:hAnsi="Arial" w:cs="Arial"/>
                <w:noProof/>
                <w:sz w:val="24"/>
                <w:szCs w:val="24"/>
              </w:rPr>
              <w:t xml:space="preserve"> </w:t>
            </w:r>
            <w:r w:rsidRPr="00B02898">
              <w:rPr>
                <w:rFonts w:ascii="Arial" w:hAnsi="Arial" w:cs="Arial"/>
                <w:b/>
                <w:bCs/>
                <w:noProof/>
                <w:sz w:val="24"/>
                <w:szCs w:val="24"/>
              </w:rPr>
              <w:t>12</w:t>
            </w:r>
            <w:r w:rsidRPr="00B02898">
              <w:rPr>
                <w:rFonts w:ascii="Arial" w:hAnsi="Arial" w:cs="Arial"/>
                <w:noProof/>
                <w:sz w:val="24"/>
                <w:szCs w:val="24"/>
              </w:rPr>
              <w:t>, 158–167 (2018).</w:t>
            </w:r>
          </w:p>
          <w:p w14:paraId="21300779"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7.</w:t>
            </w:r>
            <w:r w:rsidRPr="00B02898">
              <w:rPr>
                <w:rFonts w:ascii="Arial" w:hAnsi="Arial" w:cs="Arial"/>
                <w:noProof/>
                <w:sz w:val="24"/>
                <w:szCs w:val="24"/>
              </w:rPr>
              <w:tab/>
              <w:t xml:space="preserve">Ghayal, D., Pandit, A. B. &amp; Rathod, V. K. Optimization of biodiesel production in a hydrodynamic cavitation reactor using used frying oil. </w:t>
            </w:r>
            <w:r w:rsidRPr="00B02898">
              <w:rPr>
                <w:rFonts w:ascii="Arial" w:hAnsi="Arial" w:cs="Arial"/>
                <w:i/>
                <w:iCs/>
                <w:noProof/>
                <w:sz w:val="24"/>
                <w:szCs w:val="24"/>
              </w:rPr>
              <w:t>Ultrason. Sonochem.</w:t>
            </w:r>
            <w:r w:rsidRPr="00B02898">
              <w:rPr>
                <w:rFonts w:ascii="Arial" w:hAnsi="Arial" w:cs="Arial"/>
                <w:noProof/>
                <w:sz w:val="24"/>
                <w:szCs w:val="24"/>
              </w:rPr>
              <w:t xml:space="preserve"> </w:t>
            </w:r>
            <w:r w:rsidRPr="00B02898">
              <w:rPr>
                <w:rFonts w:ascii="Arial" w:hAnsi="Arial" w:cs="Arial"/>
                <w:b/>
                <w:bCs/>
                <w:noProof/>
                <w:sz w:val="24"/>
                <w:szCs w:val="24"/>
              </w:rPr>
              <w:t>20</w:t>
            </w:r>
            <w:r w:rsidRPr="00B02898">
              <w:rPr>
                <w:rFonts w:ascii="Arial" w:hAnsi="Arial" w:cs="Arial"/>
                <w:noProof/>
                <w:sz w:val="24"/>
                <w:szCs w:val="24"/>
              </w:rPr>
              <w:t>, 322–328 (2013).</w:t>
            </w:r>
          </w:p>
          <w:p w14:paraId="4A9B7483"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8.</w:t>
            </w:r>
            <w:r w:rsidRPr="00B02898">
              <w:rPr>
                <w:rFonts w:ascii="Arial" w:hAnsi="Arial" w:cs="Arial"/>
                <w:noProof/>
                <w:sz w:val="24"/>
                <w:szCs w:val="24"/>
              </w:rPr>
              <w:tab/>
              <w:t xml:space="preserve">Suslick, K. S., Mdleleni, M. M. &amp; Ries, J. T. Chemistry induced by hydrodynamic cavitation. </w:t>
            </w:r>
            <w:r w:rsidRPr="00B02898">
              <w:rPr>
                <w:rFonts w:ascii="Arial" w:hAnsi="Arial" w:cs="Arial"/>
                <w:i/>
                <w:iCs/>
                <w:noProof/>
                <w:sz w:val="24"/>
                <w:szCs w:val="24"/>
              </w:rPr>
              <w:t>J. Am. Chem. Soc.</w:t>
            </w:r>
            <w:r w:rsidRPr="00B02898">
              <w:rPr>
                <w:rFonts w:ascii="Arial" w:hAnsi="Arial" w:cs="Arial"/>
                <w:noProof/>
                <w:sz w:val="24"/>
                <w:szCs w:val="24"/>
              </w:rPr>
              <w:t xml:space="preserve"> (1997). doi:10.1021/ja972171i</w:t>
            </w:r>
          </w:p>
          <w:p w14:paraId="48D1B156"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9.</w:t>
            </w:r>
            <w:r w:rsidRPr="00B02898">
              <w:rPr>
                <w:rFonts w:ascii="Arial" w:hAnsi="Arial" w:cs="Arial"/>
                <w:noProof/>
                <w:sz w:val="24"/>
                <w:szCs w:val="24"/>
              </w:rPr>
              <w:tab/>
              <w:t xml:space="preserve">Beattie, A. J. </w:t>
            </w:r>
            <w:r w:rsidRPr="00B02898">
              <w:rPr>
                <w:rFonts w:ascii="Arial" w:hAnsi="Arial" w:cs="Arial"/>
                <w:i/>
                <w:iCs/>
                <w:noProof/>
                <w:sz w:val="24"/>
                <w:szCs w:val="24"/>
              </w:rPr>
              <w:t>et al.</w:t>
            </w:r>
            <w:r w:rsidRPr="00B02898">
              <w:rPr>
                <w:rFonts w:ascii="Arial" w:hAnsi="Arial" w:cs="Arial"/>
                <w:noProof/>
                <w:sz w:val="24"/>
                <w:szCs w:val="24"/>
              </w:rPr>
              <w:t xml:space="preserve"> CH. 10 New Products and Industries from Biodiversity. </w:t>
            </w:r>
            <w:r w:rsidRPr="00B02898">
              <w:rPr>
                <w:rFonts w:ascii="Arial" w:hAnsi="Arial" w:cs="Arial"/>
                <w:i/>
                <w:iCs/>
                <w:noProof/>
                <w:sz w:val="24"/>
                <w:szCs w:val="24"/>
              </w:rPr>
              <w:t>Ecosyst. Hum. Well-Being Curr. State Trends</w:t>
            </w:r>
            <w:r w:rsidRPr="00B02898">
              <w:rPr>
                <w:rFonts w:ascii="Arial" w:hAnsi="Arial" w:cs="Arial"/>
                <w:noProof/>
                <w:sz w:val="24"/>
                <w:szCs w:val="24"/>
              </w:rPr>
              <w:t xml:space="preserve"> 273–295 (2005).</w:t>
            </w:r>
          </w:p>
          <w:p w14:paraId="2F8D11BA"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10.</w:t>
            </w:r>
            <w:r w:rsidRPr="00B02898">
              <w:rPr>
                <w:rFonts w:ascii="Arial" w:hAnsi="Arial" w:cs="Arial"/>
                <w:noProof/>
                <w:sz w:val="24"/>
                <w:szCs w:val="24"/>
              </w:rPr>
              <w:tab/>
              <w:t xml:space="preserve">Niño, J., Mosquera, O. M. &amp; Correa, Y. M. Antibacterial and antifungal activities of crude plant extracts from Colombian biodiversity. </w:t>
            </w:r>
            <w:r w:rsidRPr="00B02898">
              <w:rPr>
                <w:rFonts w:ascii="Arial" w:hAnsi="Arial" w:cs="Arial"/>
                <w:i/>
                <w:iCs/>
                <w:noProof/>
                <w:sz w:val="24"/>
                <w:szCs w:val="24"/>
              </w:rPr>
              <w:t>Rev. Biol. Trop.</w:t>
            </w:r>
            <w:r w:rsidRPr="00B02898">
              <w:rPr>
                <w:rFonts w:ascii="Arial" w:hAnsi="Arial" w:cs="Arial"/>
                <w:noProof/>
                <w:sz w:val="24"/>
                <w:szCs w:val="24"/>
              </w:rPr>
              <w:t xml:space="preserve"> </w:t>
            </w:r>
            <w:r w:rsidRPr="00B02898">
              <w:rPr>
                <w:rFonts w:ascii="Arial" w:hAnsi="Arial" w:cs="Arial"/>
                <w:b/>
                <w:bCs/>
                <w:noProof/>
                <w:sz w:val="24"/>
                <w:szCs w:val="24"/>
              </w:rPr>
              <w:t>60</w:t>
            </w:r>
            <w:r w:rsidRPr="00B02898">
              <w:rPr>
                <w:rFonts w:ascii="Arial" w:hAnsi="Arial" w:cs="Arial"/>
                <w:noProof/>
                <w:sz w:val="24"/>
                <w:szCs w:val="24"/>
              </w:rPr>
              <w:t>, 1535–1542 (2012).</w:t>
            </w:r>
          </w:p>
          <w:p w14:paraId="51EDCC1C"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11.</w:t>
            </w:r>
            <w:r w:rsidRPr="00B02898">
              <w:rPr>
                <w:rFonts w:ascii="Arial" w:hAnsi="Arial" w:cs="Arial"/>
                <w:noProof/>
                <w:sz w:val="24"/>
                <w:szCs w:val="24"/>
              </w:rPr>
              <w:tab/>
              <w:t xml:space="preserve">Sharrock, S., Oldfield, S. &amp; Wilson, O. </w:t>
            </w:r>
            <w:r w:rsidRPr="00B02898">
              <w:rPr>
                <w:rFonts w:ascii="Arial" w:hAnsi="Arial" w:cs="Arial"/>
                <w:i/>
                <w:iCs/>
                <w:noProof/>
                <w:sz w:val="24"/>
                <w:szCs w:val="24"/>
              </w:rPr>
              <w:t>Plant Conservation Report 2014: a review of progress towards the Global Strategy for Plant Conservation 2011-2020.</w:t>
            </w:r>
            <w:r w:rsidRPr="00B02898">
              <w:rPr>
                <w:rFonts w:ascii="Arial" w:hAnsi="Arial" w:cs="Arial"/>
                <w:noProof/>
                <w:sz w:val="24"/>
                <w:szCs w:val="24"/>
              </w:rPr>
              <w:t xml:space="preserve"> </w:t>
            </w:r>
            <w:r w:rsidRPr="00B02898">
              <w:rPr>
                <w:rFonts w:ascii="Arial" w:hAnsi="Arial" w:cs="Arial"/>
                <w:i/>
                <w:iCs/>
                <w:noProof/>
                <w:sz w:val="24"/>
                <w:szCs w:val="24"/>
              </w:rPr>
              <w:t>CBD Technical Series</w:t>
            </w:r>
            <w:r w:rsidRPr="00B02898">
              <w:rPr>
                <w:rFonts w:ascii="Arial" w:hAnsi="Arial" w:cs="Arial"/>
                <w:noProof/>
                <w:sz w:val="24"/>
                <w:szCs w:val="24"/>
              </w:rPr>
              <w:t xml:space="preserve"> (2014).</w:t>
            </w:r>
          </w:p>
          <w:p w14:paraId="2ABC2936"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12.</w:t>
            </w:r>
            <w:r w:rsidRPr="00B02898">
              <w:rPr>
                <w:rFonts w:ascii="Arial" w:hAnsi="Arial" w:cs="Arial"/>
                <w:noProof/>
                <w:sz w:val="24"/>
                <w:szCs w:val="24"/>
              </w:rPr>
              <w:tab/>
              <w:t xml:space="preserve">BRAVO, K. &amp; PEREAÑEZ, J. A. Colombian Biodiversity, an Opportunity for the Strengthening of the Pharmaceutical and Cosmetic Industries. </w:t>
            </w:r>
            <w:r w:rsidRPr="00B02898">
              <w:rPr>
                <w:rFonts w:ascii="Arial" w:hAnsi="Arial" w:cs="Arial"/>
                <w:i/>
                <w:iCs/>
                <w:noProof/>
                <w:sz w:val="24"/>
                <w:szCs w:val="24"/>
              </w:rPr>
              <w:t>Rev. Vitae</w:t>
            </w:r>
            <w:r w:rsidRPr="00B02898">
              <w:rPr>
                <w:rFonts w:ascii="Arial" w:hAnsi="Arial" w:cs="Arial"/>
                <w:noProof/>
                <w:sz w:val="24"/>
                <w:szCs w:val="24"/>
              </w:rPr>
              <w:t xml:space="preserve"> </w:t>
            </w:r>
            <w:r w:rsidRPr="00B02898">
              <w:rPr>
                <w:rFonts w:ascii="Arial" w:hAnsi="Arial" w:cs="Arial"/>
                <w:b/>
                <w:bCs/>
                <w:noProof/>
                <w:sz w:val="24"/>
                <w:szCs w:val="24"/>
              </w:rPr>
              <w:t>23</w:t>
            </w:r>
            <w:r w:rsidRPr="00B02898">
              <w:rPr>
                <w:rFonts w:ascii="Arial" w:hAnsi="Arial" w:cs="Arial"/>
                <w:noProof/>
                <w:sz w:val="24"/>
                <w:szCs w:val="24"/>
              </w:rPr>
              <w:t>, 163 (2017).</w:t>
            </w:r>
          </w:p>
          <w:p w14:paraId="0F85CAB2"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13.</w:t>
            </w:r>
            <w:r w:rsidRPr="00B02898">
              <w:rPr>
                <w:rFonts w:ascii="Arial" w:hAnsi="Arial" w:cs="Arial"/>
                <w:noProof/>
                <w:sz w:val="24"/>
                <w:szCs w:val="24"/>
              </w:rPr>
              <w:tab/>
              <w:t xml:space="preserve">Gyllenhaal, C., Quinn, M. Lou &amp; Soejarto, O. O. Research on Colombian Medicinal Plants: Roles and Resources for Plant Taxonomists. </w:t>
            </w:r>
            <w:r w:rsidRPr="00B02898">
              <w:rPr>
                <w:rFonts w:ascii="Arial" w:hAnsi="Arial" w:cs="Arial"/>
                <w:i/>
                <w:iCs/>
                <w:noProof/>
                <w:sz w:val="24"/>
                <w:szCs w:val="24"/>
              </w:rPr>
              <w:t>Caldasia</w:t>
            </w:r>
            <w:r w:rsidRPr="00B02898">
              <w:rPr>
                <w:rFonts w:ascii="Arial" w:hAnsi="Arial" w:cs="Arial"/>
                <w:noProof/>
                <w:sz w:val="24"/>
                <w:szCs w:val="24"/>
              </w:rPr>
              <w:t xml:space="preserve"> </w:t>
            </w:r>
            <w:r w:rsidRPr="00B02898">
              <w:rPr>
                <w:rFonts w:ascii="Arial" w:hAnsi="Arial" w:cs="Arial"/>
                <w:b/>
                <w:bCs/>
                <w:noProof/>
                <w:sz w:val="24"/>
                <w:szCs w:val="24"/>
              </w:rPr>
              <w:t>15</w:t>
            </w:r>
            <w:r w:rsidRPr="00B02898">
              <w:rPr>
                <w:rFonts w:ascii="Arial" w:hAnsi="Arial" w:cs="Arial"/>
                <w:noProof/>
                <w:sz w:val="24"/>
                <w:szCs w:val="24"/>
              </w:rPr>
              <w:t>, 199–217 (1983).</w:t>
            </w:r>
          </w:p>
          <w:p w14:paraId="1ABDCC7C"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lastRenderedPageBreak/>
              <w:t>14.</w:t>
            </w:r>
            <w:r w:rsidRPr="00B02898">
              <w:rPr>
                <w:rFonts w:ascii="Arial" w:hAnsi="Arial" w:cs="Arial"/>
                <w:noProof/>
                <w:sz w:val="24"/>
                <w:szCs w:val="24"/>
              </w:rPr>
              <w:tab/>
              <w:t xml:space="preserve">Holetz, F. B. </w:t>
            </w:r>
            <w:r w:rsidRPr="00B02898">
              <w:rPr>
                <w:rFonts w:ascii="Arial" w:hAnsi="Arial" w:cs="Arial"/>
                <w:i/>
                <w:iCs/>
                <w:noProof/>
                <w:sz w:val="24"/>
                <w:szCs w:val="24"/>
              </w:rPr>
              <w:t>et al.</w:t>
            </w:r>
            <w:r w:rsidRPr="00B02898">
              <w:rPr>
                <w:rFonts w:ascii="Arial" w:hAnsi="Arial" w:cs="Arial"/>
                <w:noProof/>
                <w:sz w:val="24"/>
                <w:szCs w:val="24"/>
              </w:rPr>
              <w:t xml:space="preserve"> Screening Pl Medicinais 2.Pdf. </w:t>
            </w:r>
            <w:r w:rsidRPr="00B02898">
              <w:rPr>
                <w:rFonts w:ascii="Arial" w:hAnsi="Arial" w:cs="Arial"/>
                <w:b/>
                <w:bCs/>
                <w:noProof/>
                <w:sz w:val="24"/>
                <w:szCs w:val="24"/>
              </w:rPr>
              <w:t>97</w:t>
            </w:r>
            <w:r w:rsidRPr="00B02898">
              <w:rPr>
                <w:rFonts w:ascii="Arial" w:hAnsi="Arial" w:cs="Arial"/>
                <w:noProof/>
                <w:sz w:val="24"/>
                <w:szCs w:val="24"/>
              </w:rPr>
              <w:t>, 1027–1031 (2002).</w:t>
            </w:r>
          </w:p>
          <w:p w14:paraId="7E5A5EE6"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15.</w:t>
            </w:r>
            <w:r w:rsidRPr="00B02898">
              <w:rPr>
                <w:rFonts w:ascii="Arial" w:hAnsi="Arial" w:cs="Arial"/>
                <w:noProof/>
                <w:sz w:val="24"/>
                <w:szCs w:val="24"/>
              </w:rPr>
              <w:tab/>
              <w:t xml:space="preserve">Pretorius, J. C., Magama, S. &amp; Zietsman, P. C. Growth inhibition of plant pathogenic bacteria and fungi by extracts from selected South African plant species. </w:t>
            </w:r>
            <w:r w:rsidRPr="00B02898">
              <w:rPr>
                <w:rFonts w:ascii="Arial" w:hAnsi="Arial" w:cs="Arial"/>
                <w:i/>
                <w:iCs/>
                <w:noProof/>
                <w:sz w:val="24"/>
                <w:szCs w:val="24"/>
              </w:rPr>
              <w:t>South African J. Bot.</w:t>
            </w:r>
            <w:r w:rsidRPr="00B02898">
              <w:rPr>
                <w:rFonts w:ascii="Arial" w:hAnsi="Arial" w:cs="Arial"/>
                <w:noProof/>
                <w:sz w:val="24"/>
                <w:szCs w:val="24"/>
              </w:rPr>
              <w:t xml:space="preserve"> </w:t>
            </w:r>
            <w:r w:rsidRPr="00B02898">
              <w:rPr>
                <w:rFonts w:ascii="Arial" w:hAnsi="Arial" w:cs="Arial"/>
                <w:b/>
                <w:bCs/>
                <w:noProof/>
                <w:sz w:val="24"/>
                <w:szCs w:val="24"/>
              </w:rPr>
              <w:t>69</w:t>
            </w:r>
            <w:r w:rsidRPr="00B02898">
              <w:rPr>
                <w:rFonts w:ascii="Arial" w:hAnsi="Arial" w:cs="Arial"/>
                <w:noProof/>
                <w:sz w:val="24"/>
                <w:szCs w:val="24"/>
              </w:rPr>
              <w:t>, 186–192 (2003).</w:t>
            </w:r>
          </w:p>
          <w:p w14:paraId="6BF7A40C"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16.</w:t>
            </w:r>
            <w:r w:rsidRPr="00B02898">
              <w:rPr>
                <w:rFonts w:ascii="Arial" w:hAnsi="Arial" w:cs="Arial"/>
                <w:noProof/>
                <w:sz w:val="24"/>
                <w:szCs w:val="24"/>
              </w:rPr>
              <w:tab/>
              <w:t xml:space="preserve">Newman, D. J. &amp; Cragg, G. M. Natural products as sources of new drugs over the last 25 years. </w:t>
            </w:r>
            <w:r w:rsidRPr="00B02898">
              <w:rPr>
                <w:rFonts w:ascii="Arial" w:hAnsi="Arial" w:cs="Arial"/>
                <w:i/>
                <w:iCs/>
                <w:noProof/>
                <w:sz w:val="24"/>
                <w:szCs w:val="24"/>
              </w:rPr>
              <w:t>J. Nat. Prod.</w:t>
            </w:r>
            <w:r w:rsidRPr="00B02898">
              <w:rPr>
                <w:rFonts w:ascii="Arial" w:hAnsi="Arial" w:cs="Arial"/>
                <w:noProof/>
                <w:sz w:val="24"/>
                <w:szCs w:val="24"/>
              </w:rPr>
              <w:t xml:space="preserve"> </w:t>
            </w:r>
            <w:r w:rsidRPr="00B02898">
              <w:rPr>
                <w:rFonts w:ascii="Arial" w:hAnsi="Arial" w:cs="Arial"/>
                <w:b/>
                <w:bCs/>
                <w:noProof/>
                <w:sz w:val="24"/>
                <w:szCs w:val="24"/>
              </w:rPr>
              <w:t>70</w:t>
            </w:r>
            <w:r w:rsidRPr="00B02898">
              <w:rPr>
                <w:rFonts w:ascii="Arial" w:hAnsi="Arial" w:cs="Arial"/>
                <w:noProof/>
                <w:sz w:val="24"/>
                <w:szCs w:val="24"/>
              </w:rPr>
              <w:t>, 461–477 (2007).</w:t>
            </w:r>
          </w:p>
          <w:p w14:paraId="165D625D"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17.</w:t>
            </w:r>
            <w:r w:rsidRPr="00B02898">
              <w:rPr>
                <w:rFonts w:ascii="Arial" w:hAnsi="Arial" w:cs="Arial"/>
                <w:noProof/>
                <w:sz w:val="24"/>
                <w:szCs w:val="24"/>
              </w:rPr>
              <w:tab/>
              <w:t xml:space="preserve">Universidad Nacional de. Agraz en polvo. </w:t>
            </w:r>
            <w:r w:rsidRPr="00B02898">
              <w:rPr>
                <w:rFonts w:ascii="Arial" w:hAnsi="Arial" w:cs="Arial"/>
                <w:i/>
                <w:iCs/>
                <w:noProof/>
                <w:sz w:val="24"/>
                <w:szCs w:val="24"/>
              </w:rPr>
              <w:t>Agencia de Noticias UN</w:t>
            </w:r>
            <w:r w:rsidRPr="00B02898">
              <w:rPr>
                <w:rFonts w:ascii="Arial" w:hAnsi="Arial" w:cs="Arial"/>
                <w:noProof/>
                <w:sz w:val="24"/>
                <w:szCs w:val="24"/>
              </w:rPr>
              <w:t xml:space="preserve"> 1 (2017).</w:t>
            </w:r>
          </w:p>
          <w:p w14:paraId="179342F5"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18.</w:t>
            </w:r>
            <w:r w:rsidRPr="00B02898">
              <w:rPr>
                <w:rFonts w:ascii="Arial" w:hAnsi="Arial" w:cs="Arial"/>
                <w:noProof/>
                <w:sz w:val="24"/>
                <w:szCs w:val="24"/>
              </w:rPr>
              <w:tab/>
              <w:t xml:space="preserve">Đurović, S. </w:t>
            </w:r>
            <w:r w:rsidRPr="00B02898">
              <w:rPr>
                <w:rFonts w:ascii="Arial" w:hAnsi="Arial" w:cs="Arial"/>
                <w:i/>
                <w:iCs/>
                <w:noProof/>
                <w:sz w:val="24"/>
                <w:szCs w:val="24"/>
              </w:rPr>
              <w:t>et al.</w:t>
            </w:r>
            <w:r w:rsidRPr="00B02898">
              <w:rPr>
                <w:rFonts w:ascii="Arial" w:hAnsi="Arial" w:cs="Arial"/>
                <w:noProof/>
                <w:sz w:val="24"/>
                <w:szCs w:val="24"/>
              </w:rPr>
              <w:t xml:space="preserve"> Chemical composition of stinging nettle leaves obtained by different analytical approaches. </w:t>
            </w:r>
            <w:r w:rsidRPr="00B02898">
              <w:rPr>
                <w:rFonts w:ascii="Arial" w:hAnsi="Arial" w:cs="Arial"/>
                <w:i/>
                <w:iCs/>
                <w:noProof/>
                <w:sz w:val="24"/>
                <w:szCs w:val="24"/>
              </w:rPr>
              <w:t>J. Funct. Foods</w:t>
            </w:r>
            <w:r w:rsidRPr="00B02898">
              <w:rPr>
                <w:rFonts w:ascii="Arial" w:hAnsi="Arial" w:cs="Arial"/>
                <w:noProof/>
                <w:sz w:val="24"/>
                <w:szCs w:val="24"/>
              </w:rPr>
              <w:t xml:space="preserve"> </w:t>
            </w:r>
            <w:r w:rsidRPr="00B02898">
              <w:rPr>
                <w:rFonts w:ascii="Arial" w:hAnsi="Arial" w:cs="Arial"/>
                <w:b/>
                <w:bCs/>
                <w:noProof/>
                <w:sz w:val="24"/>
                <w:szCs w:val="24"/>
              </w:rPr>
              <w:t>32</w:t>
            </w:r>
            <w:r w:rsidRPr="00B02898">
              <w:rPr>
                <w:rFonts w:ascii="Arial" w:hAnsi="Arial" w:cs="Arial"/>
                <w:noProof/>
                <w:sz w:val="24"/>
                <w:szCs w:val="24"/>
              </w:rPr>
              <w:t>, 18–26 (2017).</w:t>
            </w:r>
          </w:p>
          <w:p w14:paraId="077C7B30"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19.</w:t>
            </w:r>
            <w:r w:rsidRPr="00B02898">
              <w:rPr>
                <w:rFonts w:ascii="Arial" w:hAnsi="Arial" w:cs="Arial"/>
                <w:noProof/>
                <w:sz w:val="24"/>
                <w:szCs w:val="24"/>
              </w:rPr>
              <w:tab/>
              <w:t xml:space="preserve">Salih, N. A. Effect of nettle (Urtica dioica) extract on gentamicin induced nephrotoxicity in male rabbits. </w:t>
            </w:r>
            <w:r w:rsidRPr="00B02898">
              <w:rPr>
                <w:rFonts w:ascii="Arial" w:hAnsi="Arial" w:cs="Arial"/>
                <w:i/>
                <w:iCs/>
                <w:noProof/>
                <w:sz w:val="24"/>
                <w:szCs w:val="24"/>
              </w:rPr>
              <w:t>Asian Pac. J. Trop. Biomed.</w:t>
            </w:r>
            <w:r w:rsidRPr="00B02898">
              <w:rPr>
                <w:rFonts w:ascii="Arial" w:hAnsi="Arial" w:cs="Arial"/>
                <w:noProof/>
                <w:sz w:val="24"/>
                <w:szCs w:val="24"/>
              </w:rPr>
              <w:t xml:space="preserve"> (2015). doi:10.1016/j.apjtb.2015.07.005</w:t>
            </w:r>
          </w:p>
          <w:p w14:paraId="4D8E8D2B"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20.</w:t>
            </w:r>
            <w:r w:rsidRPr="00B02898">
              <w:rPr>
                <w:rFonts w:ascii="Arial" w:hAnsi="Arial" w:cs="Arial"/>
                <w:noProof/>
                <w:sz w:val="24"/>
                <w:szCs w:val="24"/>
              </w:rPr>
              <w:tab/>
              <w:t xml:space="preserve">Domínguez-Rodríguez, G., Marina, M. L. &amp; Plaza, M. Strategies for the extraction and analysis of non-extractable polyphenols from plants. </w:t>
            </w:r>
            <w:r w:rsidRPr="00B02898">
              <w:rPr>
                <w:rFonts w:ascii="Arial" w:hAnsi="Arial" w:cs="Arial"/>
                <w:i/>
                <w:iCs/>
                <w:noProof/>
                <w:sz w:val="24"/>
                <w:szCs w:val="24"/>
              </w:rPr>
              <w:t>J. Chromatogr. A</w:t>
            </w:r>
            <w:r w:rsidRPr="00B02898">
              <w:rPr>
                <w:rFonts w:ascii="Arial" w:hAnsi="Arial" w:cs="Arial"/>
                <w:noProof/>
                <w:sz w:val="24"/>
                <w:szCs w:val="24"/>
              </w:rPr>
              <w:t xml:space="preserve"> </w:t>
            </w:r>
            <w:r w:rsidRPr="00B02898">
              <w:rPr>
                <w:rFonts w:ascii="Arial" w:hAnsi="Arial" w:cs="Arial"/>
                <w:b/>
                <w:bCs/>
                <w:noProof/>
                <w:sz w:val="24"/>
                <w:szCs w:val="24"/>
              </w:rPr>
              <w:t>1514</w:t>
            </w:r>
            <w:r w:rsidRPr="00B02898">
              <w:rPr>
                <w:rFonts w:ascii="Arial" w:hAnsi="Arial" w:cs="Arial"/>
                <w:noProof/>
                <w:sz w:val="24"/>
                <w:szCs w:val="24"/>
              </w:rPr>
              <w:t>, 1–15 (2017).</w:t>
            </w:r>
          </w:p>
          <w:p w14:paraId="70CA9551"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21.</w:t>
            </w:r>
            <w:r w:rsidRPr="00B02898">
              <w:rPr>
                <w:rFonts w:ascii="Arial" w:hAnsi="Arial" w:cs="Arial"/>
                <w:noProof/>
                <w:sz w:val="24"/>
                <w:szCs w:val="24"/>
              </w:rPr>
              <w:tab/>
              <w:t xml:space="preserve">Akalin, M. K., Karagöz, S. &amp; Akyüz, M. Application of response surface methodology to extract yields from stinging nettle under supercritical ethanol conditions. </w:t>
            </w:r>
            <w:r w:rsidRPr="00B02898">
              <w:rPr>
                <w:rFonts w:ascii="Arial" w:hAnsi="Arial" w:cs="Arial"/>
                <w:i/>
                <w:iCs/>
                <w:noProof/>
                <w:sz w:val="24"/>
                <w:szCs w:val="24"/>
              </w:rPr>
              <w:t>J. Supercrit. Fluids</w:t>
            </w:r>
            <w:r w:rsidRPr="00B02898">
              <w:rPr>
                <w:rFonts w:ascii="Arial" w:hAnsi="Arial" w:cs="Arial"/>
                <w:noProof/>
                <w:sz w:val="24"/>
                <w:szCs w:val="24"/>
              </w:rPr>
              <w:t xml:space="preserve"> (2013). doi:10.1016/j.supflu.2013.10.004</w:t>
            </w:r>
          </w:p>
          <w:p w14:paraId="26CF3771"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22.</w:t>
            </w:r>
            <w:r w:rsidRPr="00B02898">
              <w:rPr>
                <w:rFonts w:ascii="Arial" w:hAnsi="Arial" w:cs="Arial"/>
                <w:noProof/>
                <w:sz w:val="24"/>
                <w:szCs w:val="24"/>
              </w:rPr>
              <w:tab/>
              <w:t xml:space="preserve">Di Virgilio, N. </w:t>
            </w:r>
            <w:r w:rsidRPr="00B02898">
              <w:rPr>
                <w:rFonts w:ascii="Arial" w:hAnsi="Arial" w:cs="Arial"/>
                <w:i/>
                <w:iCs/>
                <w:noProof/>
                <w:sz w:val="24"/>
                <w:szCs w:val="24"/>
              </w:rPr>
              <w:t>et al.</w:t>
            </w:r>
            <w:r w:rsidRPr="00B02898">
              <w:rPr>
                <w:rFonts w:ascii="Arial" w:hAnsi="Arial" w:cs="Arial"/>
                <w:noProof/>
                <w:sz w:val="24"/>
                <w:szCs w:val="24"/>
              </w:rPr>
              <w:t xml:space="preserve"> The potential of stinging nettle (Urtica dioica L.) as a crop with multiple uses. </w:t>
            </w:r>
            <w:r w:rsidRPr="00B02898">
              <w:rPr>
                <w:rFonts w:ascii="Arial" w:hAnsi="Arial" w:cs="Arial"/>
                <w:i/>
                <w:iCs/>
                <w:noProof/>
                <w:sz w:val="24"/>
                <w:szCs w:val="24"/>
              </w:rPr>
              <w:t>Ind. Crops Prod.</w:t>
            </w:r>
            <w:r w:rsidRPr="00B02898">
              <w:rPr>
                <w:rFonts w:ascii="Arial" w:hAnsi="Arial" w:cs="Arial"/>
                <w:noProof/>
                <w:sz w:val="24"/>
                <w:szCs w:val="24"/>
              </w:rPr>
              <w:t xml:space="preserve"> </w:t>
            </w:r>
            <w:r w:rsidRPr="00B02898">
              <w:rPr>
                <w:rFonts w:ascii="Arial" w:hAnsi="Arial" w:cs="Arial"/>
                <w:b/>
                <w:bCs/>
                <w:noProof/>
                <w:sz w:val="24"/>
                <w:szCs w:val="24"/>
              </w:rPr>
              <w:t>68</w:t>
            </w:r>
            <w:r w:rsidRPr="00B02898">
              <w:rPr>
                <w:rFonts w:ascii="Arial" w:hAnsi="Arial" w:cs="Arial"/>
                <w:noProof/>
                <w:sz w:val="24"/>
                <w:szCs w:val="24"/>
              </w:rPr>
              <w:t>, 42–49 (2015).</w:t>
            </w:r>
          </w:p>
          <w:p w14:paraId="768EBCFE"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23.</w:t>
            </w:r>
            <w:r w:rsidRPr="00B02898">
              <w:rPr>
                <w:rFonts w:ascii="Arial" w:hAnsi="Arial" w:cs="Arial"/>
                <w:noProof/>
                <w:sz w:val="24"/>
                <w:szCs w:val="24"/>
              </w:rPr>
              <w:tab/>
              <w:t xml:space="preserve">Vajić, U. J. </w:t>
            </w:r>
            <w:r w:rsidRPr="00B02898">
              <w:rPr>
                <w:rFonts w:ascii="Arial" w:hAnsi="Arial" w:cs="Arial"/>
                <w:i/>
                <w:iCs/>
                <w:noProof/>
                <w:sz w:val="24"/>
                <w:szCs w:val="24"/>
              </w:rPr>
              <w:t>et al.</w:t>
            </w:r>
            <w:r w:rsidRPr="00B02898">
              <w:rPr>
                <w:rFonts w:ascii="Arial" w:hAnsi="Arial" w:cs="Arial"/>
                <w:noProof/>
                <w:sz w:val="24"/>
                <w:szCs w:val="24"/>
              </w:rPr>
              <w:t xml:space="preserve"> Optimization of extraction of stinging nettle leaf phenolic compounds using response surface methodology. </w:t>
            </w:r>
            <w:r w:rsidRPr="00B02898">
              <w:rPr>
                <w:rFonts w:ascii="Arial" w:hAnsi="Arial" w:cs="Arial"/>
                <w:i/>
                <w:iCs/>
                <w:noProof/>
                <w:sz w:val="24"/>
                <w:szCs w:val="24"/>
              </w:rPr>
              <w:t>Ind. Crops Prod.</w:t>
            </w:r>
            <w:r w:rsidRPr="00B02898">
              <w:rPr>
                <w:rFonts w:ascii="Arial" w:hAnsi="Arial" w:cs="Arial"/>
                <w:noProof/>
                <w:sz w:val="24"/>
                <w:szCs w:val="24"/>
              </w:rPr>
              <w:t xml:space="preserve"> </w:t>
            </w:r>
            <w:r w:rsidRPr="00B02898">
              <w:rPr>
                <w:rFonts w:ascii="Arial" w:hAnsi="Arial" w:cs="Arial"/>
                <w:b/>
                <w:bCs/>
                <w:noProof/>
                <w:sz w:val="24"/>
                <w:szCs w:val="24"/>
              </w:rPr>
              <w:t>74</w:t>
            </w:r>
            <w:r w:rsidRPr="00B02898">
              <w:rPr>
                <w:rFonts w:ascii="Arial" w:hAnsi="Arial" w:cs="Arial"/>
                <w:noProof/>
                <w:sz w:val="24"/>
                <w:szCs w:val="24"/>
              </w:rPr>
              <w:t>, 912–917 (2015).</w:t>
            </w:r>
          </w:p>
          <w:p w14:paraId="5CF55F66"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24.</w:t>
            </w:r>
            <w:r w:rsidRPr="00B02898">
              <w:rPr>
                <w:rFonts w:ascii="Arial" w:hAnsi="Arial" w:cs="Arial"/>
                <w:noProof/>
                <w:sz w:val="24"/>
                <w:szCs w:val="24"/>
              </w:rPr>
              <w:tab/>
              <w:t xml:space="preserve">XU, C. C., WANG, B., PU, Y. Q., TAO, J. S. &amp; ZHANG, T. Advances in extraction and analysis of phenolic compounds from plant materials. </w:t>
            </w:r>
            <w:r w:rsidRPr="00B02898">
              <w:rPr>
                <w:rFonts w:ascii="Arial" w:hAnsi="Arial" w:cs="Arial"/>
                <w:i/>
                <w:iCs/>
                <w:noProof/>
                <w:sz w:val="24"/>
                <w:szCs w:val="24"/>
              </w:rPr>
              <w:t>Chin. J. Nat. Med.</w:t>
            </w:r>
            <w:r w:rsidRPr="00B02898">
              <w:rPr>
                <w:rFonts w:ascii="Arial" w:hAnsi="Arial" w:cs="Arial"/>
                <w:noProof/>
                <w:sz w:val="24"/>
                <w:szCs w:val="24"/>
              </w:rPr>
              <w:t xml:space="preserve"> </w:t>
            </w:r>
            <w:r w:rsidRPr="00B02898">
              <w:rPr>
                <w:rFonts w:ascii="Arial" w:hAnsi="Arial" w:cs="Arial"/>
                <w:b/>
                <w:bCs/>
                <w:noProof/>
                <w:sz w:val="24"/>
                <w:szCs w:val="24"/>
              </w:rPr>
              <w:t>15</w:t>
            </w:r>
            <w:r w:rsidRPr="00B02898">
              <w:rPr>
                <w:rFonts w:ascii="Arial" w:hAnsi="Arial" w:cs="Arial"/>
                <w:noProof/>
                <w:sz w:val="24"/>
                <w:szCs w:val="24"/>
              </w:rPr>
              <w:t>, 721–731 (2017).</w:t>
            </w:r>
          </w:p>
          <w:p w14:paraId="4C59A119"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25.</w:t>
            </w:r>
            <w:r w:rsidRPr="00B02898">
              <w:rPr>
                <w:rFonts w:ascii="Arial" w:hAnsi="Arial" w:cs="Arial"/>
                <w:noProof/>
                <w:sz w:val="24"/>
                <w:szCs w:val="24"/>
              </w:rPr>
              <w:tab/>
              <w:t xml:space="preserve">Upton, R. Stinging nettles leaf (Urtica dioica L.): Extraordinary vegetable medicine. </w:t>
            </w:r>
            <w:r w:rsidRPr="00B02898">
              <w:rPr>
                <w:rFonts w:ascii="Arial" w:hAnsi="Arial" w:cs="Arial"/>
                <w:i/>
                <w:iCs/>
                <w:noProof/>
                <w:sz w:val="24"/>
                <w:szCs w:val="24"/>
              </w:rPr>
              <w:t>J. Herb. Med.</w:t>
            </w:r>
            <w:r w:rsidRPr="00B02898">
              <w:rPr>
                <w:rFonts w:ascii="Arial" w:hAnsi="Arial" w:cs="Arial"/>
                <w:noProof/>
                <w:sz w:val="24"/>
                <w:szCs w:val="24"/>
              </w:rPr>
              <w:t xml:space="preserve"> (2013). doi:10.1016/j.hermed.2012.11.001</w:t>
            </w:r>
          </w:p>
          <w:p w14:paraId="25861C24"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26.</w:t>
            </w:r>
            <w:r w:rsidRPr="00B02898">
              <w:rPr>
                <w:rFonts w:ascii="Arial" w:hAnsi="Arial" w:cs="Arial"/>
                <w:noProof/>
                <w:sz w:val="24"/>
                <w:szCs w:val="24"/>
              </w:rPr>
              <w:tab/>
              <w:t xml:space="preserve">Zenão, S., Aires, A., Dias, C., Saavedra, M. J. &amp; Fernandes, C. Antibacterial potential of Urtica dioica and Lavandula angustifolia extracts against methicillin resistant Staphylococcus aureus isolated from diabetic foot ulcers. </w:t>
            </w:r>
            <w:r w:rsidRPr="00B02898">
              <w:rPr>
                <w:rFonts w:ascii="Arial" w:hAnsi="Arial" w:cs="Arial"/>
                <w:i/>
                <w:iCs/>
                <w:noProof/>
                <w:sz w:val="24"/>
                <w:szCs w:val="24"/>
              </w:rPr>
              <w:t>J. Herb. Med.</w:t>
            </w:r>
            <w:r w:rsidRPr="00B02898">
              <w:rPr>
                <w:rFonts w:ascii="Arial" w:hAnsi="Arial" w:cs="Arial"/>
                <w:noProof/>
                <w:sz w:val="24"/>
                <w:szCs w:val="24"/>
              </w:rPr>
              <w:t xml:space="preserve"> </w:t>
            </w:r>
            <w:r w:rsidRPr="00B02898">
              <w:rPr>
                <w:rFonts w:ascii="Arial" w:hAnsi="Arial" w:cs="Arial"/>
                <w:b/>
                <w:bCs/>
                <w:noProof/>
                <w:sz w:val="24"/>
                <w:szCs w:val="24"/>
              </w:rPr>
              <w:t>10</w:t>
            </w:r>
            <w:r w:rsidRPr="00B02898">
              <w:rPr>
                <w:rFonts w:ascii="Arial" w:hAnsi="Arial" w:cs="Arial"/>
                <w:noProof/>
                <w:sz w:val="24"/>
                <w:szCs w:val="24"/>
              </w:rPr>
              <w:t>, 53–58 (2017).</w:t>
            </w:r>
          </w:p>
          <w:p w14:paraId="24F265AD"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27.</w:t>
            </w:r>
            <w:r w:rsidRPr="00B02898">
              <w:rPr>
                <w:rFonts w:ascii="Arial" w:hAnsi="Arial" w:cs="Arial"/>
                <w:noProof/>
                <w:sz w:val="24"/>
                <w:szCs w:val="24"/>
              </w:rPr>
              <w:tab/>
              <w:t xml:space="preserve">Potoroko, I. </w:t>
            </w:r>
            <w:r w:rsidRPr="00B02898">
              <w:rPr>
                <w:rFonts w:ascii="Arial" w:hAnsi="Arial" w:cs="Arial"/>
                <w:i/>
                <w:iCs/>
                <w:noProof/>
                <w:sz w:val="24"/>
                <w:szCs w:val="24"/>
              </w:rPr>
              <w:t>et al.</w:t>
            </w:r>
            <w:r w:rsidRPr="00B02898">
              <w:rPr>
                <w:rFonts w:ascii="Arial" w:hAnsi="Arial" w:cs="Arial"/>
                <w:noProof/>
                <w:sz w:val="24"/>
                <w:szCs w:val="24"/>
              </w:rPr>
              <w:t xml:space="preserve"> Possibilities of Regulating Antioxidant Activity of Medicinal Plant Extracts. </w:t>
            </w:r>
            <w:r w:rsidRPr="00B02898">
              <w:rPr>
                <w:rFonts w:ascii="Arial" w:hAnsi="Arial" w:cs="Arial"/>
                <w:i/>
                <w:iCs/>
                <w:noProof/>
                <w:sz w:val="24"/>
                <w:szCs w:val="24"/>
              </w:rPr>
              <w:t>Human. Sport. Med.</w:t>
            </w:r>
            <w:r w:rsidRPr="00B02898">
              <w:rPr>
                <w:rFonts w:ascii="Arial" w:hAnsi="Arial" w:cs="Arial"/>
                <w:noProof/>
                <w:sz w:val="24"/>
                <w:szCs w:val="24"/>
              </w:rPr>
              <w:t xml:space="preserve"> </w:t>
            </w:r>
            <w:r w:rsidRPr="00B02898">
              <w:rPr>
                <w:rFonts w:ascii="Arial" w:hAnsi="Arial" w:cs="Arial"/>
                <w:b/>
                <w:bCs/>
                <w:noProof/>
                <w:sz w:val="24"/>
                <w:szCs w:val="24"/>
              </w:rPr>
              <w:t>17</w:t>
            </w:r>
            <w:r w:rsidRPr="00B02898">
              <w:rPr>
                <w:rFonts w:ascii="Arial" w:hAnsi="Arial" w:cs="Arial"/>
                <w:noProof/>
                <w:sz w:val="24"/>
                <w:szCs w:val="24"/>
              </w:rPr>
              <w:t>, 77–90 (2019).</w:t>
            </w:r>
          </w:p>
          <w:p w14:paraId="0233541A"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28.</w:t>
            </w:r>
            <w:r w:rsidRPr="00B02898">
              <w:rPr>
                <w:rFonts w:ascii="Arial" w:hAnsi="Arial" w:cs="Arial"/>
                <w:noProof/>
                <w:sz w:val="24"/>
                <w:szCs w:val="24"/>
              </w:rPr>
              <w:tab/>
              <w:t xml:space="preserve">Ince, A. E., Sahin, S. &amp; Sumnu, G. Comparison of microwave and ultrasound-assisted extraction techniques for leaching of phenolic compounds from nettle. </w:t>
            </w:r>
            <w:r w:rsidRPr="00B02898">
              <w:rPr>
                <w:rFonts w:ascii="Arial" w:hAnsi="Arial" w:cs="Arial"/>
                <w:i/>
                <w:iCs/>
                <w:noProof/>
                <w:sz w:val="24"/>
                <w:szCs w:val="24"/>
              </w:rPr>
              <w:t>J. Food Sci. Technol.</w:t>
            </w:r>
            <w:r w:rsidRPr="00B02898">
              <w:rPr>
                <w:rFonts w:ascii="Arial" w:hAnsi="Arial" w:cs="Arial"/>
                <w:noProof/>
                <w:sz w:val="24"/>
                <w:szCs w:val="24"/>
              </w:rPr>
              <w:t xml:space="preserve"> </w:t>
            </w:r>
            <w:r w:rsidRPr="00B02898">
              <w:rPr>
                <w:rFonts w:ascii="Arial" w:hAnsi="Arial" w:cs="Arial"/>
                <w:b/>
                <w:bCs/>
                <w:noProof/>
                <w:sz w:val="24"/>
                <w:szCs w:val="24"/>
              </w:rPr>
              <w:t>51</w:t>
            </w:r>
            <w:r w:rsidRPr="00B02898">
              <w:rPr>
                <w:rFonts w:ascii="Arial" w:hAnsi="Arial" w:cs="Arial"/>
                <w:noProof/>
                <w:sz w:val="24"/>
                <w:szCs w:val="24"/>
              </w:rPr>
              <w:t>, 2776–2782 (2014).</w:t>
            </w:r>
          </w:p>
          <w:p w14:paraId="062E0A0B"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29.</w:t>
            </w:r>
            <w:r w:rsidRPr="00B02898">
              <w:rPr>
                <w:rFonts w:ascii="Arial" w:hAnsi="Arial" w:cs="Arial"/>
                <w:noProof/>
                <w:sz w:val="24"/>
                <w:szCs w:val="24"/>
              </w:rPr>
              <w:tab/>
              <w:t xml:space="preserve">Sajfrtová, M., Sovová, H., Opletal, L. &amp; Bártlová, M. Near-critical extraction of β-sitosterol and scopoletin from stinging nettle roots. </w:t>
            </w:r>
            <w:r w:rsidRPr="00B02898">
              <w:rPr>
                <w:rFonts w:ascii="Arial" w:hAnsi="Arial" w:cs="Arial"/>
                <w:i/>
                <w:iCs/>
                <w:noProof/>
                <w:sz w:val="24"/>
                <w:szCs w:val="24"/>
              </w:rPr>
              <w:t xml:space="preserve">J. </w:t>
            </w:r>
            <w:r w:rsidRPr="00B02898">
              <w:rPr>
                <w:rFonts w:ascii="Arial" w:hAnsi="Arial" w:cs="Arial"/>
                <w:i/>
                <w:iCs/>
                <w:noProof/>
                <w:sz w:val="24"/>
                <w:szCs w:val="24"/>
              </w:rPr>
              <w:lastRenderedPageBreak/>
              <w:t>Supercrit. Fluids</w:t>
            </w:r>
            <w:r w:rsidRPr="00B02898">
              <w:rPr>
                <w:rFonts w:ascii="Arial" w:hAnsi="Arial" w:cs="Arial"/>
                <w:noProof/>
                <w:sz w:val="24"/>
                <w:szCs w:val="24"/>
              </w:rPr>
              <w:t xml:space="preserve"> (2005). doi:10.1016/j.supflu.2004.12.008</w:t>
            </w:r>
          </w:p>
          <w:p w14:paraId="2F43FC00"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30.</w:t>
            </w:r>
            <w:r w:rsidRPr="00B02898">
              <w:rPr>
                <w:rFonts w:ascii="Arial" w:hAnsi="Arial" w:cs="Arial"/>
                <w:noProof/>
                <w:sz w:val="24"/>
                <w:szCs w:val="24"/>
              </w:rPr>
              <w:tab/>
              <w:t xml:space="preserve">Nencu, I. </w:t>
            </w:r>
            <w:r w:rsidRPr="00B02898">
              <w:rPr>
                <w:rFonts w:ascii="Arial" w:hAnsi="Arial" w:cs="Arial"/>
                <w:i/>
                <w:iCs/>
                <w:noProof/>
                <w:sz w:val="24"/>
                <w:szCs w:val="24"/>
              </w:rPr>
              <w:t>et al.</w:t>
            </w:r>
            <w:r w:rsidRPr="00B02898">
              <w:rPr>
                <w:rFonts w:ascii="Arial" w:hAnsi="Arial" w:cs="Arial"/>
                <w:noProof/>
                <w:sz w:val="24"/>
                <w:szCs w:val="24"/>
              </w:rPr>
              <w:t xml:space="preserve"> THE SELECTION OF TECHNOLOGICAL PARAMETERS IN ORDER TO OBTAIN AN EXTRACT WITH IMPORTANT ANTIOXIDANT ACTIVITY FROM STINGING NETTLE LEAVES. </w:t>
            </w:r>
            <w:r w:rsidRPr="00B02898">
              <w:rPr>
                <w:rFonts w:ascii="Arial" w:hAnsi="Arial" w:cs="Arial"/>
                <w:b/>
                <w:bCs/>
                <w:noProof/>
                <w:sz w:val="24"/>
                <w:szCs w:val="24"/>
              </w:rPr>
              <w:t>65</w:t>
            </w:r>
            <w:r w:rsidRPr="00B02898">
              <w:rPr>
                <w:rFonts w:ascii="Arial" w:hAnsi="Arial" w:cs="Arial"/>
                <w:noProof/>
                <w:sz w:val="24"/>
                <w:szCs w:val="24"/>
              </w:rPr>
              <w:t>, (2017).</w:t>
            </w:r>
          </w:p>
          <w:p w14:paraId="5E2758B7"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31.</w:t>
            </w:r>
            <w:r w:rsidRPr="00B02898">
              <w:rPr>
                <w:rFonts w:ascii="Arial" w:hAnsi="Arial" w:cs="Arial"/>
                <w:noProof/>
                <w:sz w:val="24"/>
                <w:szCs w:val="24"/>
              </w:rPr>
              <w:tab/>
              <w:t xml:space="preserve">Celis, M. E. M., Tobón, Y. N. F., Agudeio, C., Arango, S. S. &amp; Rojano, B. Andean berry (vaccinium meridionale swartz). in </w:t>
            </w:r>
            <w:r w:rsidRPr="00B02898">
              <w:rPr>
                <w:rFonts w:ascii="Arial" w:hAnsi="Arial" w:cs="Arial"/>
                <w:i/>
                <w:iCs/>
                <w:noProof/>
                <w:sz w:val="24"/>
                <w:szCs w:val="24"/>
              </w:rPr>
              <w:t>Fruit and Vegetable Phytochemicals: Chemistry and Human Health: Second Edition</w:t>
            </w:r>
            <w:r w:rsidRPr="00B02898">
              <w:rPr>
                <w:rFonts w:ascii="Arial" w:hAnsi="Arial" w:cs="Arial"/>
                <w:noProof/>
                <w:sz w:val="24"/>
                <w:szCs w:val="24"/>
              </w:rPr>
              <w:t xml:space="preserve"> </w:t>
            </w:r>
            <w:r w:rsidRPr="00B02898">
              <w:rPr>
                <w:rFonts w:ascii="Arial" w:hAnsi="Arial" w:cs="Arial"/>
                <w:b/>
                <w:bCs/>
                <w:noProof/>
                <w:sz w:val="24"/>
                <w:szCs w:val="24"/>
              </w:rPr>
              <w:t>2</w:t>
            </w:r>
            <w:r w:rsidRPr="00B02898">
              <w:rPr>
                <w:rFonts w:ascii="Arial" w:hAnsi="Arial" w:cs="Arial"/>
                <w:noProof/>
                <w:sz w:val="24"/>
                <w:szCs w:val="24"/>
              </w:rPr>
              <w:t>, 869–881 (2017).</w:t>
            </w:r>
          </w:p>
          <w:p w14:paraId="26835570"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32.</w:t>
            </w:r>
            <w:r w:rsidRPr="00B02898">
              <w:rPr>
                <w:rFonts w:ascii="Arial" w:hAnsi="Arial" w:cs="Arial"/>
                <w:noProof/>
                <w:sz w:val="24"/>
                <w:szCs w:val="24"/>
              </w:rPr>
              <w:tab/>
              <w:t>Forero Cabrera, N. M. Evaluación de parámetros de calidad físicos y químicos en agraz (Vaccinium meridionale Swartz) con el uso de espectroscopía de infrarrojo cercano – NIR. (Universidad Nacional de Colombia, 2017).</w:t>
            </w:r>
          </w:p>
          <w:p w14:paraId="17716987"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33.</w:t>
            </w:r>
            <w:r w:rsidRPr="00B02898">
              <w:rPr>
                <w:rFonts w:ascii="Arial" w:hAnsi="Arial" w:cs="Arial"/>
                <w:noProof/>
                <w:sz w:val="24"/>
                <w:szCs w:val="24"/>
              </w:rPr>
              <w:tab/>
              <w:t xml:space="preserve">Ministerio de Agricultura y Desarrollo Rural. Reporte: Área, Producción y Rendimiento Nacional por Cultivo. </w:t>
            </w:r>
            <w:r w:rsidRPr="00B02898">
              <w:rPr>
                <w:rFonts w:ascii="Arial" w:hAnsi="Arial" w:cs="Arial"/>
                <w:i/>
                <w:iCs/>
                <w:noProof/>
                <w:sz w:val="24"/>
                <w:szCs w:val="24"/>
              </w:rPr>
              <w:t>Agronet</w:t>
            </w:r>
            <w:r w:rsidRPr="00B02898">
              <w:rPr>
                <w:rFonts w:ascii="Arial" w:hAnsi="Arial" w:cs="Arial"/>
                <w:noProof/>
                <w:sz w:val="24"/>
                <w:szCs w:val="24"/>
              </w:rPr>
              <w:t xml:space="preserve"> (2019).</w:t>
            </w:r>
          </w:p>
          <w:p w14:paraId="74EA3097"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34.</w:t>
            </w:r>
            <w:r w:rsidRPr="00B02898">
              <w:rPr>
                <w:rFonts w:ascii="Arial" w:hAnsi="Arial" w:cs="Arial"/>
                <w:noProof/>
                <w:sz w:val="24"/>
                <w:szCs w:val="24"/>
              </w:rPr>
              <w:tab/>
              <w:t xml:space="preserve">Garzón, G. A., Narváez, C. E., Riedl, K. M. &amp; Schwartz, S. J. Chemical composition, anthocyanins, non-anthocyanin phenolics and antioxidant activity of wild bilberry (Vaccinium meridionale Swartz) from Colombia. </w:t>
            </w:r>
            <w:r w:rsidRPr="00B02898">
              <w:rPr>
                <w:rFonts w:ascii="Arial" w:hAnsi="Arial" w:cs="Arial"/>
                <w:i/>
                <w:iCs/>
                <w:noProof/>
                <w:sz w:val="24"/>
                <w:szCs w:val="24"/>
              </w:rPr>
              <w:t>Food Chem.</w:t>
            </w:r>
            <w:r w:rsidRPr="00B02898">
              <w:rPr>
                <w:rFonts w:ascii="Arial" w:hAnsi="Arial" w:cs="Arial"/>
                <w:noProof/>
                <w:sz w:val="24"/>
                <w:szCs w:val="24"/>
              </w:rPr>
              <w:t xml:space="preserve"> </w:t>
            </w:r>
            <w:r w:rsidRPr="00B02898">
              <w:rPr>
                <w:rFonts w:ascii="Arial" w:hAnsi="Arial" w:cs="Arial"/>
                <w:b/>
                <w:bCs/>
                <w:noProof/>
                <w:sz w:val="24"/>
                <w:szCs w:val="24"/>
              </w:rPr>
              <w:t>122</w:t>
            </w:r>
            <w:r w:rsidRPr="00B02898">
              <w:rPr>
                <w:rFonts w:ascii="Arial" w:hAnsi="Arial" w:cs="Arial"/>
                <w:noProof/>
                <w:sz w:val="24"/>
                <w:szCs w:val="24"/>
              </w:rPr>
              <w:t>, 980–986 (2010).</w:t>
            </w:r>
          </w:p>
          <w:p w14:paraId="5756F4CF"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35.</w:t>
            </w:r>
            <w:r w:rsidRPr="00B02898">
              <w:rPr>
                <w:rFonts w:ascii="Arial" w:hAnsi="Arial" w:cs="Arial"/>
                <w:noProof/>
                <w:sz w:val="24"/>
                <w:szCs w:val="24"/>
              </w:rPr>
              <w:tab/>
              <w:t xml:space="preserve">López-Padilla, A. </w:t>
            </w:r>
            <w:r w:rsidRPr="00B02898">
              <w:rPr>
                <w:rFonts w:ascii="Arial" w:hAnsi="Arial" w:cs="Arial"/>
                <w:i/>
                <w:iCs/>
                <w:noProof/>
                <w:sz w:val="24"/>
                <w:szCs w:val="24"/>
              </w:rPr>
              <w:t>et al.</w:t>
            </w:r>
            <w:r w:rsidRPr="00B02898">
              <w:rPr>
                <w:rFonts w:ascii="Arial" w:hAnsi="Arial" w:cs="Arial"/>
                <w:noProof/>
                <w:sz w:val="24"/>
                <w:szCs w:val="24"/>
              </w:rPr>
              <w:t xml:space="preserve"> Vaccinium meridionale Swartz extracts and their addition in beef burgers as antioxidant ingredient. </w:t>
            </w:r>
            <w:r w:rsidRPr="00B02898">
              <w:rPr>
                <w:rFonts w:ascii="Arial" w:hAnsi="Arial" w:cs="Arial"/>
                <w:i/>
                <w:iCs/>
                <w:noProof/>
                <w:sz w:val="24"/>
                <w:szCs w:val="24"/>
              </w:rPr>
              <w:t>J. Sci. Food Agric.</w:t>
            </w:r>
            <w:r w:rsidRPr="00B02898">
              <w:rPr>
                <w:rFonts w:ascii="Arial" w:hAnsi="Arial" w:cs="Arial"/>
                <w:noProof/>
                <w:sz w:val="24"/>
                <w:szCs w:val="24"/>
              </w:rPr>
              <w:t xml:space="preserve"> (2018). doi:10.1002/jsfa.8483</w:t>
            </w:r>
          </w:p>
          <w:p w14:paraId="3DFA8F07"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36.</w:t>
            </w:r>
            <w:r w:rsidRPr="00B02898">
              <w:rPr>
                <w:rFonts w:ascii="Arial" w:hAnsi="Arial" w:cs="Arial"/>
                <w:noProof/>
                <w:sz w:val="24"/>
                <w:szCs w:val="24"/>
              </w:rPr>
              <w:tab/>
              <w:t xml:space="preserve">Lopera, Y. E. </w:t>
            </w:r>
            <w:r w:rsidRPr="00B02898">
              <w:rPr>
                <w:rFonts w:ascii="Arial" w:hAnsi="Arial" w:cs="Arial"/>
                <w:i/>
                <w:iCs/>
                <w:noProof/>
                <w:sz w:val="24"/>
                <w:szCs w:val="24"/>
              </w:rPr>
              <w:t>et al.</w:t>
            </w:r>
            <w:r w:rsidRPr="00B02898">
              <w:rPr>
                <w:rFonts w:ascii="Arial" w:hAnsi="Arial" w:cs="Arial"/>
                <w:noProof/>
                <w:sz w:val="24"/>
                <w:szCs w:val="24"/>
              </w:rPr>
              <w:t xml:space="preserve"> Antioxidant activity and cardioprotective effect of a nonalcoholic extract of Vaccinium meridionale Swartz during ischemia-reperfusion in rats. </w:t>
            </w:r>
            <w:r w:rsidRPr="00B02898">
              <w:rPr>
                <w:rFonts w:ascii="Arial" w:hAnsi="Arial" w:cs="Arial"/>
                <w:i/>
                <w:iCs/>
                <w:noProof/>
                <w:sz w:val="24"/>
                <w:szCs w:val="24"/>
              </w:rPr>
              <w:t>Evidence-based Complement. Altern. Med.</w:t>
            </w:r>
            <w:r w:rsidRPr="00B02898">
              <w:rPr>
                <w:rFonts w:ascii="Arial" w:hAnsi="Arial" w:cs="Arial"/>
                <w:noProof/>
                <w:sz w:val="24"/>
                <w:szCs w:val="24"/>
              </w:rPr>
              <w:t xml:space="preserve"> </w:t>
            </w:r>
            <w:r w:rsidRPr="00B02898">
              <w:rPr>
                <w:rFonts w:ascii="Arial" w:hAnsi="Arial" w:cs="Arial"/>
                <w:b/>
                <w:bCs/>
                <w:noProof/>
                <w:sz w:val="24"/>
                <w:szCs w:val="24"/>
              </w:rPr>
              <w:t>2013</w:t>
            </w:r>
            <w:r w:rsidRPr="00B02898">
              <w:rPr>
                <w:rFonts w:ascii="Arial" w:hAnsi="Arial" w:cs="Arial"/>
                <w:noProof/>
                <w:sz w:val="24"/>
                <w:szCs w:val="24"/>
              </w:rPr>
              <w:t>, (2013).</w:t>
            </w:r>
          </w:p>
          <w:p w14:paraId="504DD39D"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37.</w:t>
            </w:r>
            <w:r w:rsidRPr="00B02898">
              <w:rPr>
                <w:rFonts w:ascii="Arial" w:hAnsi="Arial" w:cs="Arial"/>
                <w:noProof/>
                <w:sz w:val="24"/>
                <w:szCs w:val="24"/>
              </w:rPr>
              <w:tab/>
              <w:t xml:space="preserve">Maldonado-Celis, M. E., Arango-Varela, S. S. &amp; Rojano, B. A. Free radical scavenging capacity and cytotoxic and antiproliferative effects of Vaccinium meridionale Sw . agains colon cancer cell lines. </w:t>
            </w:r>
            <w:r w:rsidRPr="00B02898">
              <w:rPr>
                <w:rFonts w:ascii="Arial" w:hAnsi="Arial" w:cs="Arial"/>
                <w:i/>
                <w:iCs/>
                <w:noProof/>
                <w:sz w:val="24"/>
                <w:szCs w:val="24"/>
              </w:rPr>
              <w:t>Rev. Cuba. Plantas Med.</w:t>
            </w:r>
            <w:r w:rsidRPr="00B02898">
              <w:rPr>
                <w:rFonts w:ascii="Arial" w:hAnsi="Arial" w:cs="Arial"/>
                <w:noProof/>
                <w:sz w:val="24"/>
                <w:szCs w:val="24"/>
              </w:rPr>
              <w:t xml:space="preserve"> </w:t>
            </w:r>
            <w:r w:rsidRPr="00B02898">
              <w:rPr>
                <w:rFonts w:ascii="Arial" w:hAnsi="Arial" w:cs="Arial"/>
                <w:b/>
                <w:bCs/>
                <w:noProof/>
                <w:sz w:val="24"/>
                <w:szCs w:val="24"/>
              </w:rPr>
              <w:t>19</w:t>
            </w:r>
            <w:r w:rsidRPr="00B02898">
              <w:rPr>
                <w:rFonts w:ascii="Arial" w:hAnsi="Arial" w:cs="Arial"/>
                <w:noProof/>
                <w:sz w:val="24"/>
                <w:szCs w:val="24"/>
              </w:rPr>
              <w:t>, 172–184 (2014).</w:t>
            </w:r>
          </w:p>
          <w:p w14:paraId="54BC003B"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38.</w:t>
            </w:r>
            <w:r w:rsidRPr="00B02898">
              <w:rPr>
                <w:rFonts w:ascii="Arial" w:hAnsi="Arial" w:cs="Arial"/>
                <w:noProof/>
                <w:sz w:val="24"/>
                <w:szCs w:val="24"/>
              </w:rPr>
              <w:tab/>
              <w:t xml:space="preserve">Guzmán, M. &amp; Cortázar, T. Inhibición de las actividades colagenasa y elastasa en fibroblastos humanos estimulados con UVB. </w:t>
            </w:r>
            <w:r w:rsidRPr="00B02898">
              <w:rPr>
                <w:rFonts w:ascii="Arial" w:hAnsi="Arial" w:cs="Arial"/>
                <w:i/>
                <w:iCs/>
                <w:noProof/>
                <w:sz w:val="24"/>
                <w:szCs w:val="24"/>
              </w:rPr>
              <w:t>Cosméticos Tecnol. Latinoamérica</w:t>
            </w:r>
            <w:r w:rsidRPr="00B02898">
              <w:rPr>
                <w:rFonts w:ascii="Arial" w:hAnsi="Arial" w:cs="Arial"/>
                <w:noProof/>
                <w:sz w:val="24"/>
                <w:szCs w:val="24"/>
              </w:rPr>
              <w:t xml:space="preserve"> </w:t>
            </w:r>
            <w:r w:rsidRPr="00B02898">
              <w:rPr>
                <w:rFonts w:ascii="Arial" w:hAnsi="Arial" w:cs="Arial"/>
                <w:b/>
                <w:bCs/>
                <w:noProof/>
                <w:sz w:val="24"/>
                <w:szCs w:val="24"/>
              </w:rPr>
              <w:t>2</w:t>
            </w:r>
            <w:r w:rsidRPr="00B02898">
              <w:rPr>
                <w:rFonts w:ascii="Arial" w:hAnsi="Arial" w:cs="Arial"/>
                <w:noProof/>
                <w:sz w:val="24"/>
                <w:szCs w:val="24"/>
              </w:rPr>
              <w:t>, 19–23 (2011).</w:t>
            </w:r>
          </w:p>
          <w:p w14:paraId="4B61BB3D"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39.</w:t>
            </w:r>
            <w:r w:rsidRPr="00B02898">
              <w:rPr>
                <w:rFonts w:ascii="Arial" w:hAnsi="Arial" w:cs="Arial"/>
                <w:noProof/>
                <w:sz w:val="24"/>
                <w:szCs w:val="24"/>
              </w:rPr>
              <w:tab/>
              <w:t xml:space="preserve">Martínez Zambrano, J. J., Rojas Sarmiento, H. A., Borda Guerra, G. del C., Hastamorir Caro, A. N. &amp; Medina Riaño, M. F. Estabilidad de Antocianinas en Jugo y Concentrado de Agraz (Vaccinium meridionale Sw.). </w:t>
            </w:r>
            <w:r w:rsidRPr="00B02898">
              <w:rPr>
                <w:rFonts w:ascii="Arial" w:hAnsi="Arial" w:cs="Arial"/>
                <w:i/>
                <w:iCs/>
                <w:noProof/>
                <w:sz w:val="24"/>
                <w:szCs w:val="24"/>
              </w:rPr>
              <w:t>Rev. Fac. Nac. Agron.</w:t>
            </w:r>
            <w:r w:rsidRPr="00B02898">
              <w:rPr>
                <w:rFonts w:ascii="Arial" w:hAnsi="Arial" w:cs="Arial"/>
                <w:noProof/>
                <w:sz w:val="24"/>
                <w:szCs w:val="24"/>
              </w:rPr>
              <w:t xml:space="preserve"> </w:t>
            </w:r>
            <w:r w:rsidRPr="00B02898">
              <w:rPr>
                <w:rFonts w:ascii="Arial" w:hAnsi="Arial" w:cs="Arial"/>
                <w:b/>
                <w:bCs/>
                <w:noProof/>
                <w:sz w:val="24"/>
                <w:szCs w:val="24"/>
              </w:rPr>
              <w:t>64</w:t>
            </w:r>
            <w:r w:rsidRPr="00B02898">
              <w:rPr>
                <w:rFonts w:ascii="Arial" w:hAnsi="Arial" w:cs="Arial"/>
                <w:noProof/>
                <w:sz w:val="24"/>
                <w:szCs w:val="24"/>
              </w:rPr>
              <w:t>, 6015–6022 (2011).</w:t>
            </w:r>
          </w:p>
          <w:p w14:paraId="7F58EAE6"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40.</w:t>
            </w:r>
            <w:r w:rsidRPr="00B02898">
              <w:rPr>
                <w:rFonts w:ascii="Arial" w:hAnsi="Arial" w:cs="Arial"/>
                <w:noProof/>
                <w:sz w:val="24"/>
                <w:szCs w:val="24"/>
              </w:rPr>
              <w:tab/>
              <w:t>Bernal Roa, L. J. Evaluación de las Propiedades Bioactivas de Mora (Rubus glaucus) y Agraz (Vaccinium meridionale Swartz), en Fresco y Durante Procesos de Transformación. (Universidad Nacional de Colombia, 2012).</w:t>
            </w:r>
          </w:p>
          <w:p w14:paraId="11386E4C"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41.</w:t>
            </w:r>
            <w:r w:rsidRPr="00B02898">
              <w:rPr>
                <w:rFonts w:ascii="Arial" w:hAnsi="Arial" w:cs="Arial"/>
                <w:noProof/>
                <w:sz w:val="24"/>
                <w:szCs w:val="24"/>
              </w:rPr>
              <w:tab/>
              <w:t xml:space="preserve">Rutto, L. K., Xu, Y., Ramirez, E. &amp; Brandt, M. Mineral properties and dietary value of raw and processed stinging nettle (Urtica dioica L.). </w:t>
            </w:r>
            <w:r w:rsidRPr="00B02898">
              <w:rPr>
                <w:rFonts w:ascii="Arial" w:hAnsi="Arial" w:cs="Arial"/>
                <w:i/>
                <w:iCs/>
                <w:noProof/>
                <w:sz w:val="24"/>
                <w:szCs w:val="24"/>
              </w:rPr>
              <w:t>Int. J. Food Sci.</w:t>
            </w:r>
            <w:r w:rsidRPr="00B02898">
              <w:rPr>
                <w:rFonts w:ascii="Arial" w:hAnsi="Arial" w:cs="Arial"/>
                <w:noProof/>
                <w:sz w:val="24"/>
                <w:szCs w:val="24"/>
              </w:rPr>
              <w:t xml:space="preserve"> </w:t>
            </w:r>
            <w:r w:rsidRPr="00B02898">
              <w:rPr>
                <w:rFonts w:ascii="Arial" w:hAnsi="Arial" w:cs="Arial"/>
                <w:b/>
                <w:bCs/>
                <w:noProof/>
                <w:sz w:val="24"/>
                <w:szCs w:val="24"/>
              </w:rPr>
              <w:t>2013</w:t>
            </w:r>
            <w:r w:rsidRPr="00B02898">
              <w:rPr>
                <w:rFonts w:ascii="Arial" w:hAnsi="Arial" w:cs="Arial"/>
                <w:noProof/>
                <w:sz w:val="24"/>
                <w:szCs w:val="24"/>
              </w:rPr>
              <w:t>, (2013).</w:t>
            </w:r>
          </w:p>
          <w:p w14:paraId="3CEC0D16"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42.</w:t>
            </w:r>
            <w:r w:rsidRPr="00B02898">
              <w:rPr>
                <w:rFonts w:ascii="Arial" w:hAnsi="Arial" w:cs="Arial"/>
                <w:noProof/>
                <w:sz w:val="24"/>
                <w:szCs w:val="24"/>
              </w:rPr>
              <w:tab/>
              <w:t xml:space="preserve">Yanza, E. G. &amp; Maldonado, L. Y. Determinación del contenido de α-Tocoferol y β-Caroteno en el zumo y el liofilizado de tomate de arbol (Cyphomandra Betacea Cav Sendt ). </w:t>
            </w:r>
            <w:r w:rsidRPr="00B02898">
              <w:rPr>
                <w:rFonts w:ascii="Arial" w:hAnsi="Arial" w:cs="Arial"/>
                <w:i/>
                <w:iCs/>
                <w:noProof/>
                <w:sz w:val="24"/>
                <w:szCs w:val="24"/>
              </w:rPr>
              <w:t>Rev. la Fac. Ciencias Básicas</w:t>
            </w:r>
            <w:r w:rsidRPr="00B02898">
              <w:rPr>
                <w:rFonts w:ascii="Arial" w:hAnsi="Arial" w:cs="Arial"/>
                <w:noProof/>
                <w:sz w:val="24"/>
                <w:szCs w:val="24"/>
              </w:rPr>
              <w:t xml:space="preserve"> </w:t>
            </w:r>
            <w:r w:rsidRPr="00B02898">
              <w:rPr>
                <w:rFonts w:ascii="Arial" w:hAnsi="Arial" w:cs="Arial"/>
                <w:b/>
                <w:bCs/>
                <w:noProof/>
                <w:sz w:val="24"/>
                <w:szCs w:val="24"/>
              </w:rPr>
              <w:t>10</w:t>
            </w:r>
            <w:r w:rsidRPr="00B02898">
              <w:rPr>
                <w:rFonts w:ascii="Arial" w:hAnsi="Arial" w:cs="Arial"/>
                <w:noProof/>
                <w:sz w:val="24"/>
                <w:szCs w:val="24"/>
              </w:rPr>
              <w:t>, 28–35 (2012).</w:t>
            </w:r>
          </w:p>
          <w:p w14:paraId="46BED6AA"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szCs w:val="24"/>
              </w:rPr>
            </w:pPr>
            <w:r w:rsidRPr="00B02898">
              <w:rPr>
                <w:rFonts w:ascii="Arial" w:hAnsi="Arial" w:cs="Arial"/>
                <w:noProof/>
                <w:sz w:val="24"/>
                <w:szCs w:val="24"/>
              </w:rPr>
              <w:t>43.</w:t>
            </w:r>
            <w:r w:rsidRPr="00B02898">
              <w:rPr>
                <w:rFonts w:ascii="Arial" w:hAnsi="Arial" w:cs="Arial"/>
                <w:noProof/>
                <w:sz w:val="24"/>
                <w:szCs w:val="24"/>
              </w:rPr>
              <w:tab/>
              <w:t xml:space="preserve">AOAC. AOAC Official Method 2005.02 Total Monomeric Anthocyanin Pigment Content of Fruit Juices, Beverages, Natural Colorants, </w:t>
            </w:r>
            <w:r w:rsidRPr="00B02898">
              <w:rPr>
                <w:rFonts w:ascii="Arial" w:hAnsi="Arial" w:cs="Arial"/>
                <w:noProof/>
                <w:sz w:val="24"/>
                <w:szCs w:val="24"/>
              </w:rPr>
              <w:lastRenderedPageBreak/>
              <w:t>and Wines pH Differential Method. 2 (2006).</w:t>
            </w:r>
          </w:p>
          <w:p w14:paraId="223E1126" w14:textId="77777777" w:rsidR="00B02898" w:rsidRPr="00B02898" w:rsidRDefault="00B02898" w:rsidP="00B02898">
            <w:pPr>
              <w:widowControl w:val="0"/>
              <w:autoSpaceDE w:val="0"/>
              <w:autoSpaceDN w:val="0"/>
              <w:adjustRightInd w:val="0"/>
              <w:spacing w:line="240" w:lineRule="auto"/>
              <w:ind w:left="640" w:hanging="640"/>
              <w:rPr>
                <w:rFonts w:ascii="Arial" w:hAnsi="Arial" w:cs="Arial"/>
                <w:noProof/>
                <w:sz w:val="24"/>
              </w:rPr>
            </w:pPr>
            <w:r w:rsidRPr="00B02898">
              <w:rPr>
                <w:rFonts w:ascii="Arial" w:hAnsi="Arial" w:cs="Arial"/>
                <w:noProof/>
                <w:sz w:val="24"/>
                <w:szCs w:val="24"/>
              </w:rPr>
              <w:t>44.</w:t>
            </w:r>
            <w:r w:rsidRPr="00B02898">
              <w:rPr>
                <w:rFonts w:ascii="Arial" w:hAnsi="Arial" w:cs="Arial"/>
                <w:noProof/>
                <w:sz w:val="24"/>
                <w:szCs w:val="24"/>
              </w:rPr>
              <w:tab/>
              <w:t xml:space="preserve">Garzón, G. A., Narváez, C. E., Riedl, K. M. &amp; Schwartz, S. J. Chemical composition, anthocyanins, non-anthocyanin phenolics and antioxidant activity of wild bilberry (Vaccinium meridionale Swartz) from Colombia. </w:t>
            </w:r>
            <w:r w:rsidRPr="00B02898">
              <w:rPr>
                <w:rFonts w:ascii="Arial" w:hAnsi="Arial" w:cs="Arial"/>
                <w:i/>
                <w:iCs/>
                <w:noProof/>
                <w:sz w:val="24"/>
                <w:szCs w:val="24"/>
              </w:rPr>
              <w:t>Food Chem.</w:t>
            </w:r>
            <w:r w:rsidRPr="00B02898">
              <w:rPr>
                <w:rFonts w:ascii="Arial" w:hAnsi="Arial" w:cs="Arial"/>
                <w:noProof/>
                <w:sz w:val="24"/>
                <w:szCs w:val="24"/>
              </w:rPr>
              <w:t xml:space="preserve"> </w:t>
            </w:r>
            <w:r w:rsidRPr="00B02898">
              <w:rPr>
                <w:rFonts w:ascii="Arial" w:hAnsi="Arial" w:cs="Arial"/>
                <w:b/>
                <w:bCs/>
                <w:noProof/>
                <w:sz w:val="24"/>
                <w:szCs w:val="24"/>
              </w:rPr>
              <w:t>122</w:t>
            </w:r>
            <w:r w:rsidRPr="00B02898">
              <w:rPr>
                <w:rFonts w:ascii="Arial" w:hAnsi="Arial" w:cs="Arial"/>
                <w:noProof/>
                <w:sz w:val="24"/>
                <w:szCs w:val="24"/>
              </w:rPr>
              <w:t>, 980–986 (2010).</w:t>
            </w:r>
          </w:p>
          <w:p w14:paraId="6F9EC7C7" w14:textId="2900168E" w:rsidR="00ED1717" w:rsidRDefault="000B47BE">
            <w:pP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fldChar w:fldCharType="end"/>
            </w:r>
          </w:p>
        </w:tc>
      </w:tr>
    </w:tbl>
    <w:p w14:paraId="2AEDDD32"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698" w:type="dxa"/>
        <w:tblInd w:w="8" w:type="dxa"/>
        <w:shd w:val="clear" w:color="auto" w:fill="FFFFFF"/>
        <w:tblLook w:val="04A0" w:firstRow="1" w:lastRow="0" w:firstColumn="1" w:lastColumn="0" w:noHBand="0" w:noVBand="1"/>
      </w:tblPr>
      <w:tblGrid>
        <w:gridCol w:w="14698"/>
      </w:tblGrid>
      <w:tr w:rsidR="00ED1717" w14:paraId="273939E5" w14:textId="77777777" w:rsidTr="00891C49">
        <w:tc>
          <w:tcPr>
            <w:tcW w:w="0" w:type="auto"/>
            <w:shd w:val="clear" w:color="auto" w:fill="FFFFFF"/>
            <w:tcMar>
              <w:top w:w="15" w:type="dxa"/>
              <w:left w:w="15" w:type="dxa"/>
              <w:bottom w:w="15" w:type="dxa"/>
              <w:right w:w="15" w:type="dxa"/>
            </w:tcMar>
            <w:vAlign w:val="center"/>
            <w:hideMark/>
          </w:tcPr>
          <w:p w14:paraId="024B8BA7" w14:textId="77777777" w:rsidR="00ED1717" w:rsidRDefault="00ED1717">
            <w:pPr>
              <w:spacing w:after="0"/>
              <w:rPr>
                <w:sz w:val="20"/>
                <w:szCs w:val="20"/>
                <w:lang w:eastAsia="es-CO"/>
              </w:rPr>
            </w:pPr>
          </w:p>
        </w:tc>
      </w:tr>
    </w:tbl>
    <w:p w14:paraId="25AEDA52" w14:textId="1C1E2BB7" w:rsidR="00047770" w:rsidRDefault="00047770" w:rsidP="00642463">
      <w:pPr>
        <w:jc w:val="center"/>
        <w:rPr>
          <w:b/>
          <w:lang w:val="es-ES"/>
        </w:rPr>
      </w:pPr>
    </w:p>
    <w:p w14:paraId="55DA47BA" w14:textId="77777777" w:rsidR="00E46ACF" w:rsidRPr="00047770" w:rsidRDefault="00E46ACF">
      <w:pPr>
        <w:rPr>
          <w:lang w:val="es-ES"/>
        </w:rPr>
      </w:pPr>
    </w:p>
    <w:sectPr w:rsidR="00E46ACF" w:rsidRPr="00047770" w:rsidSect="00265B89">
      <w:headerReference w:type="even" r:id="rId17"/>
      <w:headerReference w:type="default" r:id="rId18"/>
      <w:footerReference w:type="default" r:id="rId19"/>
      <w:headerReference w:type="first" r:id="rId20"/>
      <w:footerReference w:type="first" r:id="rId21"/>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F5A33" w14:textId="77777777" w:rsidR="003A7B5B" w:rsidRDefault="003A7B5B" w:rsidP="00F14D0D">
      <w:pPr>
        <w:spacing w:after="0" w:line="240" w:lineRule="auto"/>
      </w:pPr>
      <w:r>
        <w:separator/>
      </w:r>
    </w:p>
  </w:endnote>
  <w:endnote w:type="continuationSeparator" w:id="0">
    <w:p w14:paraId="471C5802" w14:textId="77777777" w:rsidR="003A7B5B" w:rsidRDefault="003A7B5B"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6910C" w14:textId="77777777" w:rsidR="00AA3A4F" w:rsidRDefault="00AA3A4F">
    <w:pPr>
      <w:pStyle w:val="Piedepgina"/>
    </w:pPr>
    <w:r w:rsidRPr="00ED1717">
      <w:rPr>
        <w:noProof/>
        <w:lang w:eastAsia="es-CO"/>
      </w:rPr>
      <w:drawing>
        <wp:anchor distT="0" distB="0" distL="114300" distR="114300" simplePos="0" relativeHeight="251688960" behindDoc="0" locked="0" layoutInCell="1" allowOverlap="1" wp14:anchorId="2AFE3853" wp14:editId="75C385E4">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AFC75" w14:textId="77777777" w:rsidR="00AA3A4F" w:rsidRDefault="00AA3A4F">
    <w:pPr>
      <w:pStyle w:val="Piedepgina"/>
    </w:pPr>
    <w:r>
      <w:rPr>
        <w:noProof/>
        <w:lang w:eastAsia="es-CO"/>
      </w:rPr>
      <w:drawing>
        <wp:anchor distT="0" distB="0" distL="114300" distR="114300" simplePos="0" relativeHeight="251679744" behindDoc="0" locked="0" layoutInCell="1" allowOverlap="1" wp14:anchorId="1C93C371" wp14:editId="6BBD977F">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899AD" w14:textId="77777777" w:rsidR="003A7B5B" w:rsidRDefault="003A7B5B" w:rsidP="00F14D0D">
      <w:pPr>
        <w:spacing w:after="0" w:line="240" w:lineRule="auto"/>
      </w:pPr>
      <w:r>
        <w:separator/>
      </w:r>
    </w:p>
  </w:footnote>
  <w:footnote w:type="continuationSeparator" w:id="0">
    <w:p w14:paraId="03B330FB" w14:textId="77777777" w:rsidR="003A7B5B" w:rsidRDefault="003A7B5B"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DAD3A" w14:textId="77777777" w:rsidR="00AA3A4F" w:rsidRDefault="003A7B5B">
    <w:pPr>
      <w:pStyle w:val="Encabezado"/>
    </w:pPr>
    <w:r>
      <w:rPr>
        <w:noProof/>
      </w:rPr>
      <w:pict w14:anchorId="7FC72B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1FD35" w14:textId="77777777" w:rsidR="00AA3A4F" w:rsidRDefault="00AA3A4F"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16DEFEC5" wp14:editId="03E07BC0">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BA8A1" w14:textId="77777777" w:rsidR="00AA3A4F" w:rsidRDefault="00AA3A4F" w:rsidP="004F1944">
    <w:pPr>
      <w:pStyle w:val="Encabezado"/>
      <w:jc w:val="right"/>
      <w:rPr>
        <w:sz w:val="14"/>
        <w:szCs w:val="16"/>
        <w:lang w:val="es-ES"/>
      </w:rPr>
    </w:pPr>
  </w:p>
  <w:p w14:paraId="09F1022E" w14:textId="320797CA" w:rsidR="00AA3A4F" w:rsidRPr="004F1944" w:rsidRDefault="00AA3A4F"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ED34E5">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ED34E5">
      <w:rPr>
        <w:b/>
        <w:bCs/>
        <w:noProof/>
        <w:sz w:val="14"/>
        <w:szCs w:val="16"/>
      </w:rPr>
      <w:t>14</w:t>
    </w:r>
    <w:r w:rsidRPr="006930C8">
      <w:rPr>
        <w:b/>
        <w:bCs/>
        <w:sz w:val="14"/>
        <w:szCs w:val="16"/>
      </w:rPr>
      <w:fldChar w:fldCharType="end"/>
    </w:r>
    <w:r w:rsidR="003A7B5B">
      <w:rPr>
        <w:noProof/>
        <w:lang w:eastAsia="es-CO"/>
      </w:rPr>
      <w:pict w14:anchorId="55F820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14:paraId="7D483268" w14:textId="77777777" w:rsidR="00AA3A4F" w:rsidRDefault="00AA3A4F"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68F46F71" wp14:editId="04642662">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C2B0D9" w14:textId="177CD175" w:rsidR="00AA3A4F" w:rsidRDefault="00AA3A4F"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ED34E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ED34E5">
          <w:rPr>
            <w:b/>
            <w:bCs/>
            <w:noProof/>
            <w:sz w:val="14"/>
            <w:szCs w:val="16"/>
          </w:rPr>
          <w:t>14</w:t>
        </w:r>
        <w:r w:rsidRPr="006930C8">
          <w:rPr>
            <w:b/>
            <w:bCs/>
            <w:sz w:val="14"/>
            <w:szCs w:val="16"/>
          </w:rPr>
          <w:fldChar w:fldCharType="end"/>
        </w:r>
        <w:r w:rsidR="003A7B5B">
          <w:rPr>
            <w:noProof/>
            <w:lang w:eastAsia="es-CO"/>
          </w:rPr>
          <w:pict w14:anchorId="11213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2907526B" w14:textId="77777777" w:rsidR="00AA3A4F" w:rsidRPr="00A34F4E" w:rsidRDefault="003A7B5B" w:rsidP="00A34F4E">
    <w:pPr>
      <w:pStyle w:val="Encabezado"/>
      <w:jc w:val="right"/>
      <w:rPr>
        <w:sz w:val="14"/>
        <w:szCs w:val="16"/>
      </w:rPr>
    </w:pPr>
    <w:r>
      <w:rPr>
        <w:noProof/>
      </w:rPr>
      <w:pict w14:anchorId="42A3AF95">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D5325"/>
    <w:multiLevelType w:val="hybridMultilevel"/>
    <w:tmpl w:val="E46E03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32C17F2"/>
    <w:multiLevelType w:val="hybridMultilevel"/>
    <w:tmpl w:val="83AE47E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5E73E65"/>
    <w:multiLevelType w:val="hybridMultilevel"/>
    <w:tmpl w:val="6318E9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6138611F"/>
    <w:multiLevelType w:val="hybridMultilevel"/>
    <w:tmpl w:val="14A07B5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63D53D81"/>
    <w:multiLevelType w:val="hybridMultilevel"/>
    <w:tmpl w:val="7F1491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87B0062"/>
    <w:multiLevelType w:val="hybridMultilevel"/>
    <w:tmpl w:val="D4D0B0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DC85030"/>
    <w:multiLevelType w:val="hybridMultilevel"/>
    <w:tmpl w:val="34DC4A7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74B05662"/>
    <w:multiLevelType w:val="hybridMultilevel"/>
    <w:tmpl w:val="5EAA252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9">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C743B69"/>
    <w:multiLevelType w:val="hybridMultilevel"/>
    <w:tmpl w:val="B1127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DC96288"/>
    <w:multiLevelType w:val="hybridMultilevel"/>
    <w:tmpl w:val="185013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3"/>
  </w:num>
  <w:num w:numId="5">
    <w:abstractNumId w:val="10"/>
  </w:num>
  <w:num w:numId="6">
    <w:abstractNumId w:val="8"/>
  </w:num>
  <w:num w:numId="7">
    <w:abstractNumId w:val="11"/>
  </w:num>
  <w:num w:numId="8">
    <w:abstractNumId w:val="0"/>
  </w:num>
  <w:num w:numId="9">
    <w:abstractNumId w:val="6"/>
  </w:num>
  <w:num w:numId="10">
    <w:abstractNumId w:val="4"/>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documentProtection w:edit="trackedChanges" w:enforcement="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02E"/>
    <w:rsid w:val="00005BF8"/>
    <w:rsid w:val="00005D34"/>
    <w:rsid w:val="0001270B"/>
    <w:rsid w:val="0002400D"/>
    <w:rsid w:val="0003419C"/>
    <w:rsid w:val="00046871"/>
    <w:rsid w:val="00047770"/>
    <w:rsid w:val="00061113"/>
    <w:rsid w:val="000720B3"/>
    <w:rsid w:val="00082B9A"/>
    <w:rsid w:val="0009117E"/>
    <w:rsid w:val="0009787D"/>
    <w:rsid w:val="000A1F3D"/>
    <w:rsid w:val="000B47BE"/>
    <w:rsid w:val="000C1600"/>
    <w:rsid w:val="000D4132"/>
    <w:rsid w:val="000D7C46"/>
    <w:rsid w:val="00136C82"/>
    <w:rsid w:val="00141983"/>
    <w:rsid w:val="00194D98"/>
    <w:rsid w:val="001A64BC"/>
    <w:rsid w:val="001A7DFA"/>
    <w:rsid w:val="001C1E94"/>
    <w:rsid w:val="001C5691"/>
    <w:rsid w:val="001C6852"/>
    <w:rsid w:val="001C71E1"/>
    <w:rsid w:val="001C77E9"/>
    <w:rsid w:val="001D6087"/>
    <w:rsid w:val="001E133A"/>
    <w:rsid w:val="001F6D20"/>
    <w:rsid w:val="001F7991"/>
    <w:rsid w:val="00251442"/>
    <w:rsid w:val="00251825"/>
    <w:rsid w:val="002652B5"/>
    <w:rsid w:val="00265B89"/>
    <w:rsid w:val="00265DD8"/>
    <w:rsid w:val="00280851"/>
    <w:rsid w:val="002A18AF"/>
    <w:rsid w:val="002B1A55"/>
    <w:rsid w:val="002B32FB"/>
    <w:rsid w:val="002C2D07"/>
    <w:rsid w:val="002C3E46"/>
    <w:rsid w:val="002D6852"/>
    <w:rsid w:val="002E2A54"/>
    <w:rsid w:val="002F299A"/>
    <w:rsid w:val="00311E44"/>
    <w:rsid w:val="003258A2"/>
    <w:rsid w:val="003274CA"/>
    <w:rsid w:val="003277FD"/>
    <w:rsid w:val="00343306"/>
    <w:rsid w:val="0036247F"/>
    <w:rsid w:val="00387219"/>
    <w:rsid w:val="003A22B3"/>
    <w:rsid w:val="003A7B5B"/>
    <w:rsid w:val="003D2DF8"/>
    <w:rsid w:val="00403605"/>
    <w:rsid w:val="00420E72"/>
    <w:rsid w:val="0044363A"/>
    <w:rsid w:val="0045224F"/>
    <w:rsid w:val="00470E5A"/>
    <w:rsid w:val="00475F6C"/>
    <w:rsid w:val="00484919"/>
    <w:rsid w:val="004A0718"/>
    <w:rsid w:val="004B6453"/>
    <w:rsid w:val="004D6E9B"/>
    <w:rsid w:val="004F1944"/>
    <w:rsid w:val="004F61C3"/>
    <w:rsid w:val="00515B61"/>
    <w:rsid w:val="00535D0F"/>
    <w:rsid w:val="00542258"/>
    <w:rsid w:val="005679EF"/>
    <w:rsid w:val="0058167B"/>
    <w:rsid w:val="00582B5F"/>
    <w:rsid w:val="00583222"/>
    <w:rsid w:val="005B2C0B"/>
    <w:rsid w:val="005C6AF4"/>
    <w:rsid w:val="005D3A79"/>
    <w:rsid w:val="005D7AC3"/>
    <w:rsid w:val="005E7A80"/>
    <w:rsid w:val="006021B7"/>
    <w:rsid w:val="00602747"/>
    <w:rsid w:val="0061319F"/>
    <w:rsid w:val="00614674"/>
    <w:rsid w:val="00617F7C"/>
    <w:rsid w:val="00623645"/>
    <w:rsid w:val="00642463"/>
    <w:rsid w:val="0064442B"/>
    <w:rsid w:val="00650CF5"/>
    <w:rsid w:val="0067092C"/>
    <w:rsid w:val="00676308"/>
    <w:rsid w:val="006930C8"/>
    <w:rsid w:val="006934B2"/>
    <w:rsid w:val="00694B49"/>
    <w:rsid w:val="006A742C"/>
    <w:rsid w:val="006D4E60"/>
    <w:rsid w:val="006E3336"/>
    <w:rsid w:val="006F4699"/>
    <w:rsid w:val="006F4C97"/>
    <w:rsid w:val="006F76C7"/>
    <w:rsid w:val="007002B4"/>
    <w:rsid w:val="0070183A"/>
    <w:rsid w:val="00712F55"/>
    <w:rsid w:val="0073569B"/>
    <w:rsid w:val="00737531"/>
    <w:rsid w:val="00742C57"/>
    <w:rsid w:val="0076408E"/>
    <w:rsid w:val="00767012"/>
    <w:rsid w:val="00794EE7"/>
    <w:rsid w:val="007B0D3E"/>
    <w:rsid w:val="007C4779"/>
    <w:rsid w:val="007E1E78"/>
    <w:rsid w:val="00806D4E"/>
    <w:rsid w:val="008129BD"/>
    <w:rsid w:val="008204CD"/>
    <w:rsid w:val="00823ABD"/>
    <w:rsid w:val="0086078C"/>
    <w:rsid w:val="0087330E"/>
    <w:rsid w:val="00891C49"/>
    <w:rsid w:val="008A111C"/>
    <w:rsid w:val="008A6C82"/>
    <w:rsid w:val="008C1647"/>
    <w:rsid w:val="008D1BF9"/>
    <w:rsid w:val="008D2ED2"/>
    <w:rsid w:val="008D47D0"/>
    <w:rsid w:val="008D6920"/>
    <w:rsid w:val="008E4DB3"/>
    <w:rsid w:val="009038BA"/>
    <w:rsid w:val="00922517"/>
    <w:rsid w:val="00924580"/>
    <w:rsid w:val="00924CCC"/>
    <w:rsid w:val="00930350"/>
    <w:rsid w:val="00944309"/>
    <w:rsid w:val="0099314B"/>
    <w:rsid w:val="009974C6"/>
    <w:rsid w:val="009B63DB"/>
    <w:rsid w:val="009C1711"/>
    <w:rsid w:val="009D2CE3"/>
    <w:rsid w:val="009E52A3"/>
    <w:rsid w:val="009F022E"/>
    <w:rsid w:val="009F368A"/>
    <w:rsid w:val="00A04BC7"/>
    <w:rsid w:val="00A11E50"/>
    <w:rsid w:val="00A201EA"/>
    <w:rsid w:val="00A34F4E"/>
    <w:rsid w:val="00A3511D"/>
    <w:rsid w:val="00A47F35"/>
    <w:rsid w:val="00A512B6"/>
    <w:rsid w:val="00A55040"/>
    <w:rsid w:val="00A5524B"/>
    <w:rsid w:val="00A91D6E"/>
    <w:rsid w:val="00AA3A4F"/>
    <w:rsid w:val="00AC47BF"/>
    <w:rsid w:val="00AD40BF"/>
    <w:rsid w:val="00B00682"/>
    <w:rsid w:val="00B02898"/>
    <w:rsid w:val="00B20713"/>
    <w:rsid w:val="00B22109"/>
    <w:rsid w:val="00B2385F"/>
    <w:rsid w:val="00B23E3C"/>
    <w:rsid w:val="00B35FB6"/>
    <w:rsid w:val="00B41BFE"/>
    <w:rsid w:val="00B6632E"/>
    <w:rsid w:val="00B66D74"/>
    <w:rsid w:val="00B705C7"/>
    <w:rsid w:val="00B955FA"/>
    <w:rsid w:val="00BB19D9"/>
    <w:rsid w:val="00BB1DE8"/>
    <w:rsid w:val="00BC05D7"/>
    <w:rsid w:val="00BD59EF"/>
    <w:rsid w:val="00BD6146"/>
    <w:rsid w:val="00C1240B"/>
    <w:rsid w:val="00C1561A"/>
    <w:rsid w:val="00C15915"/>
    <w:rsid w:val="00C17434"/>
    <w:rsid w:val="00C4364A"/>
    <w:rsid w:val="00C46EE5"/>
    <w:rsid w:val="00C5405E"/>
    <w:rsid w:val="00C57E95"/>
    <w:rsid w:val="00C644B1"/>
    <w:rsid w:val="00C65B97"/>
    <w:rsid w:val="00C7499F"/>
    <w:rsid w:val="00CB03E7"/>
    <w:rsid w:val="00CB1DDB"/>
    <w:rsid w:val="00CB333C"/>
    <w:rsid w:val="00CC77C3"/>
    <w:rsid w:val="00D01BA1"/>
    <w:rsid w:val="00D05F45"/>
    <w:rsid w:val="00D11105"/>
    <w:rsid w:val="00D2386B"/>
    <w:rsid w:val="00D37D57"/>
    <w:rsid w:val="00D41ACF"/>
    <w:rsid w:val="00D425E2"/>
    <w:rsid w:val="00D459AD"/>
    <w:rsid w:val="00D540AA"/>
    <w:rsid w:val="00D910C3"/>
    <w:rsid w:val="00DC124D"/>
    <w:rsid w:val="00DD6F5D"/>
    <w:rsid w:val="00DE419F"/>
    <w:rsid w:val="00E034DF"/>
    <w:rsid w:val="00E07D47"/>
    <w:rsid w:val="00E41954"/>
    <w:rsid w:val="00E45CFC"/>
    <w:rsid w:val="00E46ACF"/>
    <w:rsid w:val="00E55B73"/>
    <w:rsid w:val="00E6008D"/>
    <w:rsid w:val="00E65262"/>
    <w:rsid w:val="00E75BAD"/>
    <w:rsid w:val="00E762C6"/>
    <w:rsid w:val="00EA042A"/>
    <w:rsid w:val="00EA5619"/>
    <w:rsid w:val="00EB4031"/>
    <w:rsid w:val="00EB5E86"/>
    <w:rsid w:val="00EC5323"/>
    <w:rsid w:val="00ED1717"/>
    <w:rsid w:val="00ED34E5"/>
    <w:rsid w:val="00F14D0D"/>
    <w:rsid w:val="00F243E8"/>
    <w:rsid w:val="00F34710"/>
    <w:rsid w:val="00F55938"/>
    <w:rsid w:val="00F90E18"/>
    <w:rsid w:val="00FA5249"/>
    <w:rsid w:val="00FB33BC"/>
    <w:rsid w:val="00FC2DA2"/>
    <w:rsid w:val="00FE649D"/>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6272E72"/>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Descripcin">
    <w:name w:val="caption"/>
    <w:basedOn w:val="Normal"/>
    <w:next w:val="Normal"/>
    <w:uiPriority w:val="35"/>
    <w:unhideWhenUsed/>
    <w:qFormat/>
    <w:rsid w:val="006A742C"/>
    <w:pPr>
      <w:spacing w:after="200" w:line="240" w:lineRule="auto"/>
    </w:pPr>
    <w:rPr>
      <w:i/>
      <w:iCs/>
      <w:color w:val="44546A" w:themeColor="text2"/>
      <w:sz w:val="18"/>
      <w:szCs w:val="18"/>
    </w:rPr>
  </w:style>
  <w:style w:type="paragraph" w:styleId="Revisin">
    <w:name w:val="Revision"/>
    <w:hidden/>
    <w:uiPriority w:val="99"/>
    <w:semiHidden/>
    <w:rsid w:val="00A55040"/>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A55040"/>
    <w:rPr>
      <w:b/>
      <w:bCs/>
    </w:rPr>
  </w:style>
  <w:style w:type="character" w:customStyle="1" w:styleId="AsuntodelcomentarioCar">
    <w:name w:val="Asunto del comentario Car"/>
    <w:basedOn w:val="TextocomentarioCar"/>
    <w:link w:val="Asuntodelcomentario"/>
    <w:uiPriority w:val="99"/>
    <w:semiHidden/>
    <w:rsid w:val="00A550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370494120">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167061" TargetMode="External"/><Relationship Id="rId13" Type="http://schemas.openxmlformats.org/officeDocument/2006/relationships/hyperlink" Target="https://scholar.google.com/citations?user=&amp;user=EyAX1aEAAAAJ"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rcid.org/0000-0001-7683-354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cholar.google.es/citations?hl=es&amp;user=lmHQtNkAAAAJ"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094947" TargetMode="External"/><Relationship Id="rId5" Type="http://schemas.openxmlformats.org/officeDocument/2006/relationships/webSettings" Target="webSettings.xml"/><Relationship Id="rId15" Type="http://schemas.openxmlformats.org/officeDocument/2006/relationships/hyperlink" Target="https://orcid.org/0000-0002-5905-6151" TargetMode="External"/><Relationship Id="rId23" Type="http://schemas.openxmlformats.org/officeDocument/2006/relationships/theme" Target="theme/theme1.xml"/><Relationship Id="rId10" Type="http://schemas.openxmlformats.org/officeDocument/2006/relationships/hyperlink" Target="https://scholar.google.com/citations?user=b0ldFjcAAAAJ&amp;hl=es&amp;oi=a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3-2890-2180" TargetMode="External"/><Relationship Id="rId14" Type="http://schemas.openxmlformats.org/officeDocument/2006/relationships/hyperlink" Target="http://scienti.colciencias.gov.co:8081/cvlac/visualizador/generarCurriculoCv.do?cod_rh=0000013766"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2AB4F-9272-438C-AC4E-8B170A20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23123</Words>
  <Characters>127179</Characters>
  <Application>Microsoft Office Word</Application>
  <DocSecurity>0</DocSecurity>
  <Lines>1059</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Tutorias División Ingenierias</cp:lastModifiedBy>
  <cp:revision>2</cp:revision>
  <cp:lastPrinted>2019-05-21T14:57:00Z</cp:lastPrinted>
  <dcterms:created xsi:type="dcterms:W3CDTF">2019-08-09T20:29:00Z</dcterms:created>
  <dcterms:modified xsi:type="dcterms:W3CDTF">2019-08-09T20:29:00Z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c59628cd-80c2-3b92-9094-37108aa5a117</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